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244" w:rsidRDefault="00D41244">
      <w:pPr>
        <w:jc w:val="left"/>
      </w:pPr>
      <w:bookmarkStart w:id="0" w:name="_GoBack"/>
      <w:bookmarkEnd w:id="0"/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1256"/>
        <w:gridCol w:w="1061"/>
        <w:gridCol w:w="4912"/>
        <w:gridCol w:w="1800"/>
        <w:gridCol w:w="5400"/>
      </w:tblGrid>
      <w:tr w:rsidR="00D41244">
        <w:trPr>
          <w:tblHeader/>
        </w:trPr>
        <w:tc>
          <w:tcPr>
            <w:tcW w:w="799" w:type="dxa"/>
          </w:tcPr>
          <w:p w:rsidR="00D41244" w:rsidRDefault="00D41244">
            <w:pPr>
              <w:jc w:val="center"/>
              <w:rPr>
                <w:b/>
              </w:rPr>
            </w:pPr>
            <w:r>
              <w:rPr>
                <w:b/>
              </w:rPr>
              <w:t>Clôture</w:t>
            </w:r>
          </w:p>
        </w:tc>
        <w:tc>
          <w:tcPr>
            <w:tcW w:w="1256" w:type="dxa"/>
          </w:tcPr>
          <w:p w:rsidR="00D41244" w:rsidRDefault="00D41244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061" w:type="dxa"/>
          </w:tcPr>
          <w:p w:rsidR="00D41244" w:rsidRDefault="00D41244">
            <w:pPr>
              <w:jc w:val="center"/>
              <w:rPr>
                <w:b/>
              </w:rPr>
            </w:pPr>
            <w:r>
              <w:rPr>
                <w:b/>
              </w:rPr>
              <w:t>Création</w:t>
            </w:r>
          </w:p>
        </w:tc>
        <w:tc>
          <w:tcPr>
            <w:tcW w:w="4912" w:type="dxa"/>
          </w:tcPr>
          <w:p w:rsidR="00D41244" w:rsidRDefault="00D41244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800" w:type="dxa"/>
          </w:tcPr>
          <w:p w:rsidR="00D41244" w:rsidRDefault="00D41244">
            <w:pPr>
              <w:jc w:val="center"/>
              <w:rPr>
                <w:b/>
              </w:rPr>
            </w:pPr>
            <w:r>
              <w:rPr>
                <w:b/>
              </w:rPr>
              <w:t>Qui</w:t>
            </w:r>
          </w:p>
        </w:tc>
        <w:tc>
          <w:tcPr>
            <w:tcW w:w="5400" w:type="dxa"/>
          </w:tcPr>
          <w:p w:rsidR="00D41244" w:rsidRDefault="00D41244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D41244">
        <w:trPr>
          <w:trHeight w:val="851"/>
        </w:trPr>
        <w:tc>
          <w:tcPr>
            <w:tcW w:w="799" w:type="dxa"/>
            <w:vAlign w:val="center"/>
          </w:tcPr>
          <w:p w:rsidR="00D41244" w:rsidRDefault="00D41244">
            <w:pPr>
              <w:jc w:val="center"/>
            </w:pPr>
            <w:r>
              <w:t>23 juin</w:t>
            </w:r>
          </w:p>
        </w:tc>
        <w:tc>
          <w:tcPr>
            <w:tcW w:w="1256" w:type="dxa"/>
            <w:vAlign w:val="center"/>
          </w:tcPr>
          <w:p w:rsidR="00D41244" w:rsidRDefault="00D41244">
            <w:pPr>
              <w:jc w:val="center"/>
            </w:pPr>
            <w:r>
              <w:t>1</w:t>
            </w:r>
            <w:r>
              <w:rPr>
                <w:vertAlign w:val="superscript"/>
              </w:rPr>
              <w:t>ER</w:t>
            </w:r>
            <w:r>
              <w:t xml:space="preserve"> juillet</w:t>
            </w:r>
          </w:p>
        </w:tc>
        <w:tc>
          <w:tcPr>
            <w:tcW w:w="1061" w:type="dxa"/>
            <w:vAlign w:val="center"/>
          </w:tcPr>
          <w:p w:rsidR="00D41244" w:rsidRDefault="00D41244">
            <w:pPr>
              <w:jc w:val="center"/>
            </w:pPr>
            <w:r>
              <w:t>21 juin</w:t>
            </w:r>
          </w:p>
        </w:tc>
        <w:tc>
          <w:tcPr>
            <w:tcW w:w="4912" w:type="dxa"/>
            <w:vAlign w:val="center"/>
          </w:tcPr>
          <w:p w:rsidR="00D41244" w:rsidRDefault="00D41244">
            <w:pPr>
              <w:jc w:val="left"/>
            </w:pPr>
            <w:r>
              <w:t>Indicateurs temps missions (graphique + source des données) à incorporer dans l’intranet (business plan)</w:t>
            </w:r>
          </w:p>
        </w:tc>
        <w:tc>
          <w:tcPr>
            <w:tcW w:w="1800" w:type="dxa"/>
            <w:vAlign w:val="center"/>
          </w:tcPr>
          <w:p w:rsidR="00D41244" w:rsidRDefault="00D41244">
            <w:pPr>
              <w:jc w:val="center"/>
            </w:pPr>
            <w:r>
              <w:t>SCl</w:t>
            </w:r>
          </w:p>
        </w:tc>
        <w:tc>
          <w:tcPr>
            <w:tcW w:w="5400" w:type="dxa"/>
            <w:vAlign w:val="center"/>
          </w:tcPr>
          <w:p w:rsidR="00D41244" w:rsidRDefault="00D41244">
            <w:pPr>
              <w:jc w:val="left"/>
            </w:pPr>
          </w:p>
        </w:tc>
      </w:tr>
      <w:tr w:rsidR="00D41244">
        <w:trPr>
          <w:trHeight w:val="851"/>
        </w:trPr>
        <w:tc>
          <w:tcPr>
            <w:tcW w:w="799" w:type="dxa"/>
            <w:vAlign w:val="center"/>
          </w:tcPr>
          <w:p w:rsidR="00D41244" w:rsidRDefault="00D41244">
            <w:pPr>
              <w:jc w:val="center"/>
            </w:pPr>
            <w:r>
              <w:t>24 juin</w:t>
            </w:r>
          </w:p>
        </w:tc>
        <w:tc>
          <w:tcPr>
            <w:tcW w:w="1256" w:type="dxa"/>
            <w:vAlign w:val="center"/>
          </w:tcPr>
          <w:p w:rsidR="00D41244" w:rsidRDefault="00D41244">
            <w:pPr>
              <w:jc w:val="center"/>
            </w:pPr>
            <w:r>
              <w:t>1</w:t>
            </w:r>
            <w:r>
              <w:rPr>
                <w:vertAlign w:val="superscript"/>
              </w:rPr>
              <w:t>ER</w:t>
            </w:r>
            <w:r>
              <w:t xml:space="preserve"> juillet</w:t>
            </w:r>
          </w:p>
        </w:tc>
        <w:tc>
          <w:tcPr>
            <w:tcW w:w="1061" w:type="dxa"/>
            <w:vAlign w:val="center"/>
          </w:tcPr>
          <w:p w:rsidR="00D41244" w:rsidRDefault="00D41244">
            <w:pPr>
              <w:jc w:val="center"/>
            </w:pPr>
            <w:r>
              <w:t>21 juin</w:t>
            </w:r>
          </w:p>
        </w:tc>
        <w:tc>
          <w:tcPr>
            <w:tcW w:w="4912" w:type="dxa"/>
            <w:vAlign w:val="center"/>
          </w:tcPr>
          <w:p w:rsidR="00D41244" w:rsidRDefault="00D41244">
            <w:pPr>
              <w:jc w:val="left"/>
            </w:pPr>
            <w:r>
              <w:t xml:space="preserve">Indicateurs temps missions (graphique) : créer courbe « moyenne jours facturés » </w:t>
            </w:r>
          </w:p>
        </w:tc>
        <w:tc>
          <w:tcPr>
            <w:tcW w:w="1800" w:type="dxa"/>
            <w:vAlign w:val="center"/>
          </w:tcPr>
          <w:p w:rsidR="00D41244" w:rsidRDefault="00D41244">
            <w:pPr>
              <w:jc w:val="center"/>
            </w:pPr>
            <w:r>
              <w:t>SCl</w:t>
            </w:r>
          </w:p>
        </w:tc>
        <w:tc>
          <w:tcPr>
            <w:tcW w:w="5400" w:type="dxa"/>
            <w:vAlign w:val="center"/>
          </w:tcPr>
          <w:p w:rsidR="00D41244" w:rsidRDefault="00D41244">
            <w:pPr>
              <w:jc w:val="left"/>
            </w:pPr>
          </w:p>
        </w:tc>
      </w:tr>
      <w:tr w:rsidR="00D41244">
        <w:trPr>
          <w:trHeight w:val="851"/>
        </w:trPr>
        <w:tc>
          <w:tcPr>
            <w:tcW w:w="799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1256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1061" w:type="dxa"/>
            <w:vAlign w:val="center"/>
          </w:tcPr>
          <w:p w:rsidR="00D41244" w:rsidRDefault="00D41244">
            <w:pPr>
              <w:jc w:val="center"/>
            </w:pPr>
            <w:r>
              <w:t>21 juin</w:t>
            </w:r>
          </w:p>
        </w:tc>
        <w:tc>
          <w:tcPr>
            <w:tcW w:w="4912" w:type="dxa"/>
            <w:vAlign w:val="center"/>
          </w:tcPr>
          <w:p w:rsidR="00D41244" w:rsidRDefault="00D41244">
            <w:pPr>
              <w:jc w:val="left"/>
            </w:pPr>
            <w:r>
              <w:t xml:space="preserve">Adapter le </w:t>
            </w:r>
            <w:r>
              <w:rPr>
                <w:b/>
                <w:bCs/>
              </w:rPr>
              <w:t>devis d’audit</w:t>
            </w:r>
            <w:r>
              <w:t xml:space="preserve"> en fonction du client et de ses besoins</w:t>
            </w:r>
          </w:p>
          <w:p w:rsidR="00D41244" w:rsidRDefault="00D41244">
            <w:pPr>
              <w:jc w:val="left"/>
            </w:pPr>
            <w:r>
              <w:t>Réunion de mise en place de projet</w:t>
            </w:r>
          </w:p>
          <w:p w:rsidR="00D41244" w:rsidRDefault="00D41244">
            <w:pPr>
              <w:jc w:val="left"/>
            </w:pPr>
            <w:r>
              <w:t>MAJ check-list &amp; cahier des charges</w:t>
            </w:r>
          </w:p>
          <w:p w:rsidR="00D41244" w:rsidRDefault="00D41244">
            <w:pPr>
              <w:jc w:val="left"/>
            </w:pPr>
            <w:r>
              <w:t>Intégrer dans « Méthodologie d’Audit »</w:t>
            </w:r>
          </w:p>
        </w:tc>
        <w:tc>
          <w:tcPr>
            <w:tcW w:w="1800" w:type="dxa"/>
            <w:vAlign w:val="center"/>
          </w:tcPr>
          <w:p w:rsidR="00D41244" w:rsidRDefault="00D41244">
            <w:pPr>
              <w:jc w:val="center"/>
            </w:pPr>
            <w:r>
              <w:t>?</w:t>
            </w:r>
          </w:p>
        </w:tc>
        <w:tc>
          <w:tcPr>
            <w:tcW w:w="5400" w:type="dxa"/>
            <w:vAlign w:val="center"/>
          </w:tcPr>
          <w:p w:rsidR="00D41244" w:rsidRDefault="00D41244">
            <w:pPr>
              <w:jc w:val="left"/>
            </w:pPr>
          </w:p>
        </w:tc>
      </w:tr>
      <w:tr w:rsidR="00D41244">
        <w:trPr>
          <w:trHeight w:val="851"/>
        </w:trPr>
        <w:tc>
          <w:tcPr>
            <w:tcW w:w="799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1256" w:type="dxa"/>
            <w:vAlign w:val="center"/>
          </w:tcPr>
          <w:p w:rsidR="00D41244" w:rsidRDefault="00D41244">
            <w:pPr>
              <w:jc w:val="center"/>
            </w:pPr>
            <w:r>
              <w:t>1</w:t>
            </w:r>
            <w:r>
              <w:rPr>
                <w:vertAlign w:val="superscript"/>
              </w:rPr>
              <w:t>ER</w:t>
            </w:r>
            <w:r>
              <w:t xml:space="preserve"> juillet</w:t>
            </w:r>
          </w:p>
        </w:tc>
        <w:tc>
          <w:tcPr>
            <w:tcW w:w="1061" w:type="dxa"/>
            <w:vAlign w:val="center"/>
          </w:tcPr>
          <w:p w:rsidR="00D41244" w:rsidRDefault="00D41244">
            <w:pPr>
              <w:jc w:val="center"/>
            </w:pPr>
            <w:r>
              <w:t>21 juin</w:t>
            </w:r>
          </w:p>
        </w:tc>
        <w:tc>
          <w:tcPr>
            <w:tcW w:w="4912" w:type="dxa"/>
            <w:vAlign w:val="center"/>
          </w:tcPr>
          <w:p w:rsidR="00D41244" w:rsidRDefault="00D41244">
            <w:pPr>
              <w:jc w:val="left"/>
            </w:pPr>
            <w:r>
              <w:t>« Occupation » pour juillet &amp; août .</w:t>
            </w:r>
          </w:p>
          <w:p w:rsidR="00D41244" w:rsidRDefault="00D41244">
            <w:pPr>
              <w:jc w:val="left"/>
            </w:pPr>
            <w:r>
              <w:t>reprendre proposition citées dans le compte-rendu</w:t>
            </w:r>
          </w:p>
          <w:p w:rsidR="00D41244" w:rsidRDefault="00D41244">
            <w:pPr>
              <w:jc w:val="left"/>
            </w:pPr>
            <w:r>
              <w:t>A évoquer lors de la prochaine réunion</w:t>
            </w:r>
          </w:p>
        </w:tc>
        <w:tc>
          <w:tcPr>
            <w:tcW w:w="1800" w:type="dxa"/>
            <w:vAlign w:val="center"/>
          </w:tcPr>
          <w:p w:rsidR="00D41244" w:rsidRDefault="00D41244">
            <w:pPr>
              <w:jc w:val="center"/>
            </w:pPr>
            <w:r>
              <w:t>Tous</w:t>
            </w:r>
          </w:p>
        </w:tc>
        <w:tc>
          <w:tcPr>
            <w:tcW w:w="5400" w:type="dxa"/>
            <w:vAlign w:val="center"/>
          </w:tcPr>
          <w:p w:rsidR="00D41244" w:rsidRDefault="00D41244">
            <w:pPr>
              <w:jc w:val="left"/>
            </w:pPr>
          </w:p>
        </w:tc>
      </w:tr>
      <w:tr w:rsidR="00D41244">
        <w:trPr>
          <w:trHeight w:val="851"/>
        </w:trPr>
        <w:tc>
          <w:tcPr>
            <w:tcW w:w="799" w:type="dxa"/>
            <w:vAlign w:val="center"/>
          </w:tcPr>
          <w:p w:rsidR="00D41244" w:rsidRDefault="00D41244">
            <w:pPr>
              <w:jc w:val="center"/>
            </w:pPr>
            <w:r>
              <w:t>24 juin</w:t>
            </w:r>
          </w:p>
        </w:tc>
        <w:tc>
          <w:tcPr>
            <w:tcW w:w="1256" w:type="dxa"/>
            <w:vAlign w:val="center"/>
          </w:tcPr>
          <w:p w:rsidR="00D41244" w:rsidRDefault="00D41244">
            <w:pPr>
              <w:jc w:val="center"/>
              <w:rPr>
                <w:b/>
                <w:bCs/>
              </w:rPr>
            </w:pPr>
            <w:r>
              <w:t>1</w:t>
            </w:r>
            <w:r>
              <w:rPr>
                <w:vertAlign w:val="superscript"/>
              </w:rPr>
              <w:t>ER</w:t>
            </w:r>
            <w:r>
              <w:t xml:space="preserve"> juillet</w:t>
            </w:r>
          </w:p>
        </w:tc>
        <w:tc>
          <w:tcPr>
            <w:tcW w:w="1061" w:type="dxa"/>
            <w:vAlign w:val="center"/>
          </w:tcPr>
          <w:p w:rsidR="00D41244" w:rsidRDefault="00D41244">
            <w:pPr>
              <w:jc w:val="center"/>
            </w:pPr>
            <w:r>
              <w:t>21 juin</w:t>
            </w:r>
          </w:p>
        </w:tc>
        <w:tc>
          <w:tcPr>
            <w:tcW w:w="4912" w:type="dxa"/>
            <w:vAlign w:val="center"/>
          </w:tcPr>
          <w:p w:rsidR="00D41244" w:rsidRDefault="00D41244">
            <w:pPr>
              <w:jc w:val="left"/>
              <w:rPr>
                <w:i/>
                <w:iCs/>
              </w:rPr>
            </w:pPr>
            <w:r>
              <w:t>Extraire chiffres SUN.eTicTac du temps consacré à la veille réglementaire et à l’intranet</w:t>
            </w:r>
          </w:p>
        </w:tc>
        <w:tc>
          <w:tcPr>
            <w:tcW w:w="1800" w:type="dxa"/>
          </w:tcPr>
          <w:p w:rsidR="00D41244" w:rsidRDefault="00D41244">
            <w:pPr>
              <w:jc w:val="center"/>
            </w:pPr>
          </w:p>
          <w:p w:rsidR="00D41244" w:rsidRDefault="00D41244">
            <w:pPr>
              <w:jc w:val="center"/>
            </w:pPr>
            <w:r>
              <w:t>SCl</w:t>
            </w:r>
          </w:p>
        </w:tc>
        <w:tc>
          <w:tcPr>
            <w:tcW w:w="5400" w:type="dxa"/>
            <w:vAlign w:val="center"/>
          </w:tcPr>
          <w:p w:rsidR="00D41244" w:rsidRDefault="00D41244">
            <w:pPr>
              <w:jc w:val="left"/>
            </w:pPr>
          </w:p>
        </w:tc>
      </w:tr>
      <w:tr w:rsidR="00D41244">
        <w:trPr>
          <w:trHeight w:val="851"/>
        </w:trPr>
        <w:tc>
          <w:tcPr>
            <w:tcW w:w="799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1256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1061" w:type="dxa"/>
            <w:vAlign w:val="center"/>
          </w:tcPr>
          <w:p w:rsidR="00D41244" w:rsidRDefault="00D41244">
            <w:pPr>
              <w:jc w:val="center"/>
            </w:pPr>
            <w:r>
              <w:t>21 juin</w:t>
            </w:r>
          </w:p>
        </w:tc>
        <w:tc>
          <w:tcPr>
            <w:tcW w:w="4912" w:type="dxa"/>
            <w:vAlign w:val="center"/>
          </w:tcPr>
          <w:p w:rsidR="00D41244" w:rsidRDefault="00D41244">
            <w:pPr>
              <w:jc w:val="left"/>
            </w:pPr>
            <w:r>
              <w:t>Récupération temps de transport : évaluer coût consultant le temps de sa récupération / coût transport facturé</w:t>
            </w:r>
          </w:p>
        </w:tc>
        <w:tc>
          <w:tcPr>
            <w:tcW w:w="1800" w:type="dxa"/>
            <w:vAlign w:val="center"/>
          </w:tcPr>
          <w:p w:rsidR="00D41244" w:rsidRDefault="00D41244">
            <w:pPr>
              <w:jc w:val="center"/>
            </w:pPr>
            <w:r>
              <w:t>Tous</w:t>
            </w:r>
          </w:p>
        </w:tc>
        <w:tc>
          <w:tcPr>
            <w:tcW w:w="5400" w:type="dxa"/>
            <w:vAlign w:val="center"/>
          </w:tcPr>
          <w:p w:rsidR="00D41244" w:rsidRDefault="00D41244">
            <w:pPr>
              <w:jc w:val="left"/>
            </w:pPr>
          </w:p>
        </w:tc>
      </w:tr>
      <w:tr w:rsidR="00D41244">
        <w:trPr>
          <w:trHeight w:val="851"/>
        </w:trPr>
        <w:tc>
          <w:tcPr>
            <w:tcW w:w="799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1256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1061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4912" w:type="dxa"/>
            <w:vAlign w:val="center"/>
          </w:tcPr>
          <w:p w:rsidR="00D41244" w:rsidRDefault="00D41244">
            <w:pPr>
              <w:jc w:val="left"/>
            </w:pPr>
          </w:p>
        </w:tc>
        <w:tc>
          <w:tcPr>
            <w:tcW w:w="1800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5400" w:type="dxa"/>
            <w:vAlign w:val="center"/>
          </w:tcPr>
          <w:p w:rsidR="00D41244" w:rsidRDefault="00D41244">
            <w:pPr>
              <w:jc w:val="left"/>
            </w:pPr>
          </w:p>
        </w:tc>
      </w:tr>
      <w:tr w:rsidR="00D41244">
        <w:trPr>
          <w:trHeight w:val="851"/>
        </w:trPr>
        <w:tc>
          <w:tcPr>
            <w:tcW w:w="799" w:type="dxa"/>
            <w:vAlign w:val="center"/>
          </w:tcPr>
          <w:p w:rsidR="00D41244" w:rsidRDefault="00D41244">
            <w:pPr>
              <w:jc w:val="left"/>
            </w:pPr>
          </w:p>
        </w:tc>
        <w:tc>
          <w:tcPr>
            <w:tcW w:w="1256" w:type="dxa"/>
            <w:vAlign w:val="center"/>
          </w:tcPr>
          <w:p w:rsidR="00D41244" w:rsidRDefault="00D41244">
            <w:pPr>
              <w:jc w:val="left"/>
            </w:pPr>
          </w:p>
        </w:tc>
        <w:tc>
          <w:tcPr>
            <w:tcW w:w="1061" w:type="dxa"/>
            <w:vAlign w:val="center"/>
          </w:tcPr>
          <w:p w:rsidR="00D41244" w:rsidRDefault="00D41244">
            <w:pPr>
              <w:jc w:val="left"/>
            </w:pPr>
          </w:p>
        </w:tc>
        <w:tc>
          <w:tcPr>
            <w:tcW w:w="4912" w:type="dxa"/>
            <w:vAlign w:val="center"/>
          </w:tcPr>
          <w:p w:rsidR="00D41244" w:rsidRDefault="00D41244">
            <w:pPr>
              <w:jc w:val="left"/>
            </w:pPr>
          </w:p>
        </w:tc>
        <w:tc>
          <w:tcPr>
            <w:tcW w:w="1800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5400" w:type="dxa"/>
            <w:vAlign w:val="center"/>
          </w:tcPr>
          <w:p w:rsidR="00D41244" w:rsidRDefault="00D41244">
            <w:pPr>
              <w:jc w:val="left"/>
            </w:pPr>
          </w:p>
        </w:tc>
      </w:tr>
      <w:tr w:rsidR="00D41244">
        <w:trPr>
          <w:trHeight w:val="851"/>
        </w:trPr>
        <w:tc>
          <w:tcPr>
            <w:tcW w:w="799" w:type="dxa"/>
            <w:vAlign w:val="center"/>
          </w:tcPr>
          <w:p w:rsidR="00D41244" w:rsidRDefault="00D41244">
            <w:pPr>
              <w:jc w:val="left"/>
            </w:pPr>
          </w:p>
        </w:tc>
        <w:tc>
          <w:tcPr>
            <w:tcW w:w="1256" w:type="dxa"/>
            <w:vAlign w:val="center"/>
          </w:tcPr>
          <w:p w:rsidR="00D41244" w:rsidRDefault="00D41244">
            <w:pPr>
              <w:jc w:val="left"/>
            </w:pPr>
          </w:p>
        </w:tc>
        <w:tc>
          <w:tcPr>
            <w:tcW w:w="1061" w:type="dxa"/>
            <w:vAlign w:val="center"/>
          </w:tcPr>
          <w:p w:rsidR="00D41244" w:rsidRDefault="00D41244">
            <w:pPr>
              <w:jc w:val="left"/>
            </w:pPr>
          </w:p>
        </w:tc>
        <w:tc>
          <w:tcPr>
            <w:tcW w:w="4912" w:type="dxa"/>
            <w:vAlign w:val="center"/>
          </w:tcPr>
          <w:p w:rsidR="00D41244" w:rsidRDefault="00D41244">
            <w:pPr>
              <w:jc w:val="left"/>
            </w:pPr>
          </w:p>
        </w:tc>
        <w:tc>
          <w:tcPr>
            <w:tcW w:w="1800" w:type="dxa"/>
            <w:vAlign w:val="center"/>
          </w:tcPr>
          <w:p w:rsidR="00D41244" w:rsidRDefault="00D41244">
            <w:pPr>
              <w:jc w:val="center"/>
            </w:pPr>
          </w:p>
        </w:tc>
        <w:tc>
          <w:tcPr>
            <w:tcW w:w="5400" w:type="dxa"/>
            <w:vAlign w:val="center"/>
          </w:tcPr>
          <w:p w:rsidR="00D41244" w:rsidRDefault="00D41244">
            <w:pPr>
              <w:jc w:val="left"/>
            </w:pPr>
          </w:p>
        </w:tc>
      </w:tr>
    </w:tbl>
    <w:p w:rsidR="00D41244" w:rsidRDefault="00D41244">
      <w:pPr>
        <w:rPr>
          <w:sz w:val="8"/>
          <w:szCs w:val="8"/>
        </w:rPr>
      </w:pPr>
    </w:p>
    <w:sectPr w:rsidR="00D41244">
      <w:headerReference w:type="default" r:id="rId8"/>
      <w:footerReference w:type="default" r:id="rId9"/>
      <w:pgSz w:w="16838" w:h="11906" w:orient="landscape"/>
      <w:pgMar w:top="719" w:right="818" w:bottom="539" w:left="90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244" w:rsidRDefault="00D41244">
      <w:pPr>
        <w:spacing w:before="0"/>
      </w:pPr>
      <w:r>
        <w:separator/>
      </w:r>
    </w:p>
  </w:endnote>
  <w:endnote w:type="continuationSeparator" w:id="0">
    <w:p w:rsidR="00D41244" w:rsidRDefault="00D4124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244" w:rsidRDefault="00D41244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PA 2004_06_21_Réunion.doc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961F64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961F64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244" w:rsidRDefault="00D41244">
      <w:pPr>
        <w:spacing w:before="0"/>
      </w:pPr>
      <w:r>
        <w:separator/>
      </w:r>
    </w:p>
  </w:footnote>
  <w:footnote w:type="continuationSeparator" w:id="0">
    <w:p w:rsidR="00D41244" w:rsidRDefault="00D4124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1700"/>
      <w:gridCol w:w="1440"/>
    </w:tblGrid>
    <w:tr w:rsidR="00D41244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D41244" w:rsidRDefault="00961F64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0" w:type="dxa"/>
        </w:tcPr>
        <w:p w:rsidR="00D41244" w:rsidRDefault="00D41244">
          <w:pPr>
            <w:pStyle w:val="Titre"/>
          </w:pPr>
          <w:r>
            <w:t>PLAN D'actions remplacé par le 2004_06_21_Réunion</w:t>
          </w:r>
        </w:p>
      </w:tc>
      <w:tc>
        <w:tcPr>
          <w:tcW w:w="1440" w:type="dxa"/>
        </w:tcPr>
        <w:p w:rsidR="00D41244" w:rsidRDefault="00D41244">
          <w:pPr>
            <w:rPr>
              <w:b/>
              <w:bCs/>
            </w:rPr>
          </w:pPr>
          <w:r>
            <w:rPr>
              <w:b/>
              <w:bCs/>
            </w:rPr>
            <w:t xml:space="preserve">Référence </w:t>
          </w:r>
        </w:p>
      </w:tc>
    </w:tr>
    <w:tr w:rsidR="00D41244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D41244" w:rsidRDefault="00D41244"/>
      </w:tc>
      <w:tc>
        <w:tcPr>
          <w:tcW w:w="11700" w:type="dxa"/>
          <w:vAlign w:val="center"/>
        </w:tcPr>
        <w:p w:rsidR="00D41244" w:rsidRDefault="00D41244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>Réunion Lundi 21 JUIN (10h – 12h)</w:t>
          </w:r>
        </w:p>
      </w:tc>
      <w:tc>
        <w:tcPr>
          <w:tcW w:w="1440" w:type="dxa"/>
        </w:tcPr>
        <w:p w:rsidR="00D41244" w:rsidRDefault="00D41244">
          <w:r>
            <w:t>Version 1.0</w:t>
          </w:r>
        </w:p>
        <w:p w:rsidR="00D41244" w:rsidRDefault="00D41244">
          <w:r>
            <w:t xml:space="preserve">Daté du </w:t>
          </w:r>
        </w:p>
      </w:tc>
    </w:tr>
  </w:tbl>
  <w:p w:rsidR="00D41244" w:rsidRDefault="00D4124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040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6E56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B46C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3CB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DC73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561F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5EFB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B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804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E2B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0F1C56B5"/>
    <w:multiLevelType w:val="hybridMultilevel"/>
    <w:tmpl w:val="6EE6DBD2"/>
    <w:lvl w:ilvl="0" w:tplc="9C7604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61A2514F"/>
    <w:multiLevelType w:val="hybridMultilevel"/>
    <w:tmpl w:val="79704F6A"/>
    <w:lvl w:ilvl="0" w:tplc="19A4F9D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18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D0"/>
    <w:rsid w:val="00961F64"/>
    <w:rsid w:val="00D41244"/>
    <w:rsid w:val="00F5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2004-09-07T12:17:00Z</cp:lastPrinted>
  <dcterms:created xsi:type="dcterms:W3CDTF">2012-08-30T09:40:00Z</dcterms:created>
  <dcterms:modified xsi:type="dcterms:W3CDTF">2012-08-30T09:40:00Z</dcterms:modified>
</cp:coreProperties>
</file>