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2A59" w:rsidRDefault="00082A59">
      <w:pPr>
        <w:pStyle w:val="Titre"/>
      </w:pPr>
      <w:bookmarkStart w:id="0" w:name="_GoBack"/>
      <w:bookmarkEnd w:id="0"/>
      <w:r>
        <w:t>GUIDE PRATIQUE DES CONTRATS DE RECHERCHE</w:t>
      </w:r>
    </w:p>
    <w:p w:rsidR="00082A59" w:rsidRDefault="00082A59">
      <w:pPr>
        <w:pStyle w:val="Titre"/>
      </w:pPr>
      <w:r>
        <w:t>MÉDECIN</w:t>
      </w:r>
      <w:r>
        <w:rPr>
          <w:sz w:val="32"/>
          <w:szCs w:val="32"/>
        </w:rPr>
        <w:t>S/</w:t>
      </w:r>
      <w:r>
        <w:t>INDUSTRIE PHARMACEUTIQU</w:t>
      </w:r>
      <w:r>
        <w:rPr>
          <w:sz w:val="32"/>
          <w:szCs w:val="32"/>
        </w:rPr>
        <w:t>E/</w:t>
      </w:r>
      <w:r>
        <w:t>ASSOCIATIONS</w:t>
      </w:r>
    </w:p>
    <w:p w:rsidR="00082A59" w:rsidRDefault="00082A59">
      <w:pPr>
        <w:pStyle w:val="Titre"/>
      </w:pPr>
      <w:r>
        <w:t>Aspects juridiques, fiscaux et sociaux</w:t>
      </w:r>
    </w:p>
    <w:p w:rsidR="00082A59" w:rsidRDefault="00082A59">
      <w:pPr>
        <w:pStyle w:val="Titre1"/>
        <w:rPr>
          <w:rFonts w:ascii="Book Antiqua" w:hAnsi="Book Antiqua"/>
          <w:sz w:val="18"/>
          <w:szCs w:val="18"/>
        </w:rPr>
      </w:pPr>
      <w:r>
        <w:t>AVANT-PROPOS</w:t>
      </w:r>
    </w:p>
    <w:p w:rsidR="00082A59" w:rsidRDefault="00082A59">
      <w:r>
        <w:t>La mise en place de recherches est une opération délicate impliquant de multiples intervenants : praticiens, entreprises pharmaceutiques, associations de recherche et administrations hospitalières.</w:t>
      </w:r>
    </w:p>
    <w:p w:rsidR="00082A59" w:rsidRDefault="00082A59">
      <w:r>
        <w:t>La complexité croissante des règles applicables à ce type d'opération, la superposition d'obligations de nature différente et les difficultés pratiques d'ordre administratif rendent la mise en oeuvre de ces recherches difficiles. Leur non-respect est susceptible d'engendrer des risques majeurs pour les partenaires au plan fiscal, au plan social (URSSAF), voire au plan pénal.</w:t>
      </w:r>
    </w:p>
    <w:p w:rsidR="00082A59" w:rsidRDefault="00082A59">
      <w:r>
        <w:t>Cette situation a amené les différents partenaires à considérer qu'il était indispensable de définir clairement le cadre légal, fiscal et social de ces relations dans l'intérêt commun.</w:t>
      </w:r>
    </w:p>
    <w:p w:rsidR="00082A59" w:rsidRDefault="00082A59">
      <w:r>
        <w:t>Le présent guide a été élaboré en commun à l'initiative du SNIP et avec la participation active de représentants de la Confédération des Syndicats Médicaux Français (CSMF), de la Fédération des Médecins de France (FMF), du Syndicat des Médecins des Hôpitaux de Paris, d'une association de recherche et de la Conférence des Directeurs Généraux de CHU.</w:t>
      </w:r>
    </w:p>
    <w:p w:rsidR="00082A59" w:rsidRDefault="00082A59">
      <w:r>
        <w:t>Il a pour objet de rappeler, sans toutefois se prétendre exhaustif, les règles de base applicables sur un plan juridique, fiscal et social aux contrats de recherches, qu'ils soient passés directement avec les médecins ou dans le cadre associatif. Il n'est bien entendu pas exclusif d'autres approches de ces questions, notamment sur un plan déontologique.</w:t>
      </w:r>
    </w:p>
    <w:p w:rsidR="00082A59" w:rsidRDefault="00082A59">
      <w:r>
        <w:t>Ce document, susceptible d'être aménagé en fonction des évolutions légales, a pour objectif de sensibiliser les différents acteurs aux implications juridiques, fiscales et sociales de leurs activités et aux conséquences "croisées" qu'elles peuvent avoir sur la situation des différents partenaires.</w:t>
      </w:r>
    </w:p>
    <w:p w:rsidR="00082A59" w:rsidRDefault="00082A59">
      <w:r>
        <w:t>Il fournit également un certain nombre d'informations pratiques permettant d'apporter des réponses aux principales questions que peuvent se poser les personnes concernées. Figurent notamment en annexe des modèles indicatifs de clauses de contrats ou de statuts destinés à fournir une aide concrète.</w:t>
      </w:r>
    </w:p>
    <w:p w:rsidR="00082A59" w:rsidRDefault="00082A59">
      <w:r>
        <w:t>Les développements de ce document relatifs aux associations, bien qu'ayant un caractère général sur un certain nombre de points, sont plus particulièrement orientés vers le fonctionnement des associations du secteur hospitalier d'autres types d'associations, notamment dans le domaine de la formation, pourront le cas échéant nécessiter des éclairages spécifiques.</w:t>
      </w:r>
    </w:p>
    <w:p w:rsidR="00082A59" w:rsidRDefault="00082A59">
      <w:r>
        <w:t>Ce document n'a pour ambition que d'apporter les informations essentielles et devra être complété utilement par des ouvrages de référence complémentaires (guides pratiques hospitaliers, LAMY ASSOCIATIONS ...).</w:t>
      </w:r>
    </w:p>
    <w:p w:rsidR="00082A59" w:rsidRDefault="00082A59">
      <w:pPr>
        <w:rPr>
          <w:rFonts w:ascii="Trebuchet MS" w:hAnsi="Trebuchet MS"/>
          <w:sz w:val="21"/>
        </w:rPr>
      </w:pPr>
      <w:r>
        <w:t xml:space="preserve">La mise en oeuvre de ce document, et les difficultés éventuelles d'application qu'il peut soulever, va faire l'objet d'un suivi en commun par les différents partenaires à l'origine de ces recommandations. Elles donneront lieu, si besoin est, à l'élaboration d'un document modifié d'ici le début de l'année </w:t>
      </w:r>
      <w:r>
        <w:rPr>
          <w:rFonts w:ascii="Trebuchet MS" w:hAnsi="Trebuchet MS"/>
          <w:sz w:val="21"/>
        </w:rPr>
        <w:t>2000.</w:t>
      </w:r>
    </w:p>
    <w:p w:rsidR="00082A59" w:rsidRDefault="00082A59"/>
    <w:p w:rsidR="00082A59" w:rsidRDefault="00082A59">
      <w:pPr>
        <w:pStyle w:val="Titre1"/>
      </w:pPr>
      <w:r>
        <w:t xml:space="preserve">REMARQUES PRÉLIMINAIRES </w:t>
      </w:r>
    </w:p>
    <w:p w:rsidR="00082A59" w:rsidRDefault="00082A59">
      <w:r>
        <w:t>Les médecins sont amenés à travailler pour le compte de laboratoires pharmaceutiques et à réaliser pour eux des travaux de diverses  natures : il peut s'agir de recherches biomédicales, d'études épidémiologiques, d'animations de formations ou de réunions, de rédactions de documents, etc...</w:t>
      </w:r>
    </w:p>
    <w:p w:rsidR="00082A59" w:rsidRDefault="00082A59">
      <w:r>
        <w:t>Ces activités doivent donner lieu à la formalisation des relations juridiques entre les entreprises et les médecins et au versement de rémunérations par les entreprises.</w:t>
      </w:r>
    </w:p>
    <w:p w:rsidR="00082A59" w:rsidRDefault="00082A59">
      <w:r>
        <w:t xml:space="preserve">Ces rémunérations doivent s'inscrire dans un </w:t>
      </w:r>
      <w:r>
        <w:rPr>
          <w:b/>
          <w:bCs/>
        </w:rPr>
        <w:t xml:space="preserve">cadre juridique, fiscal et social déterminé </w:t>
      </w:r>
      <w:r>
        <w:t xml:space="preserve">: chaque mode de rémunération doit pouvoir recevoir une </w:t>
      </w:r>
      <w:r>
        <w:rPr>
          <w:b/>
          <w:bCs/>
        </w:rPr>
        <w:t>qualification précis</w:t>
      </w:r>
      <w:r>
        <w:t>e, qui va entraîner un certain nombre de conséquences.</w:t>
      </w:r>
    </w:p>
    <w:p w:rsidR="00082A59" w:rsidRDefault="00082A59">
      <w:r>
        <w:t>Les deux principales catégories de rémunérations sont les salaires et les honoraires.</w:t>
      </w:r>
    </w:p>
    <w:p w:rsidR="00082A59" w:rsidRDefault="00082A59">
      <w:r>
        <w:rPr>
          <w:b/>
          <w:bCs/>
        </w:rPr>
        <w:t xml:space="preserve">*Les salaires </w:t>
      </w:r>
      <w:r>
        <w:t xml:space="preserve">: ils sont versés en application d'un contrat de travail, caractérisé par le </w:t>
      </w:r>
      <w:r>
        <w:rPr>
          <w:b/>
          <w:bCs/>
        </w:rPr>
        <w:t xml:space="preserve">lien de subordination </w:t>
      </w:r>
      <w:r>
        <w:t>entre un employeur et son salarié.</w:t>
      </w:r>
    </w:p>
    <w:p w:rsidR="00082A59" w:rsidRDefault="00082A59">
      <w:pPr>
        <w:rPr>
          <w:b/>
          <w:bCs/>
        </w:rPr>
      </w:pPr>
      <w:r>
        <w:rPr>
          <w:b/>
          <w:bCs/>
        </w:rPr>
        <w:t xml:space="preserve">*Les honoraires </w:t>
      </w:r>
      <w:r>
        <w:t xml:space="preserve">: ils sont versés aux travailleurs indépendants, exerçant leurs activités dans le cadre d'une </w:t>
      </w:r>
      <w:r>
        <w:rPr>
          <w:b/>
          <w:bCs/>
        </w:rPr>
        <w:t>prestation de service</w:t>
      </w:r>
      <w:r>
        <w:t xml:space="preserve">s, régie par le </w:t>
      </w:r>
      <w:r>
        <w:rPr>
          <w:b/>
          <w:bCs/>
        </w:rPr>
        <w:t>droit privé.</w:t>
      </w:r>
    </w:p>
    <w:p w:rsidR="00082A59" w:rsidRDefault="00082A59">
      <w:r>
        <w:t xml:space="preserve">Selon la définition donnée par les URSSAF : "Est travailleur indépendant toute personne physique ou morale qui exerce une activité professionnelle non salariée ou non agricole, aussi réduite soit-elle, et </w:t>
      </w:r>
      <w:r>
        <w:rPr>
          <w:b/>
          <w:bCs/>
        </w:rPr>
        <w:lastRenderedPageBreak/>
        <w:t xml:space="preserve">quel que soit le montant des revenus </w:t>
      </w:r>
      <w:r>
        <w:t>qu'elle lui procure, et même si elle exerce par ailleurs une activité salariée"</w:t>
      </w:r>
    </w:p>
    <w:p w:rsidR="00082A59" w:rsidRDefault="00082A59">
      <w:r>
        <w:t>(cf. Minitel 3616 UR75).</w:t>
      </w:r>
    </w:p>
    <w:p w:rsidR="00082A59" w:rsidRDefault="00082A59">
      <w:r>
        <w:t>D'autres formes de versements sont également possibles dans des cas très spécifiques et limités : remboursements de frais, droits  d'auteur...</w:t>
      </w:r>
    </w:p>
    <w:p w:rsidR="00082A59" w:rsidRDefault="00082A59">
      <w:r>
        <w:t xml:space="preserve">La formalisation juridique des relations peut avoir lieu au travers de </w:t>
      </w:r>
      <w:r>
        <w:rPr>
          <w:b/>
          <w:bCs/>
        </w:rPr>
        <w:t xml:space="preserve">divers types de contrats </w:t>
      </w:r>
      <w:r>
        <w:t>: les contrats passés directement avec les médecins, les contrats passés avec des associations, les contrats passés avec les hôpitaux.</w:t>
      </w:r>
    </w:p>
    <w:p w:rsidR="00082A59" w:rsidRDefault="00082A59">
      <w:r>
        <w:t>L'objet de la présente étude est de rappeler les exigences sur un plan juridique, fiscal et social applicables à chacun des types de contrats possibles, et pour chaque type de rémunération ou chaque mode de versement, quelles sont les qualifications qui s'y appliquent et leurs implications, tant pour les entreprises que pour les médecins.</w:t>
      </w:r>
    </w:p>
    <w:p w:rsidR="00082A59" w:rsidRDefault="00082A59">
      <w:r>
        <w:t>I - LES CONTRATS DIRECTS PASSÉS AVEC LES MÉDECINS</w:t>
      </w:r>
    </w:p>
    <w:p w:rsidR="00082A59" w:rsidRDefault="00082A59">
      <w:r>
        <w:t>Le mode habituel de formalisation des relations entre un médecin et une entreprise est de conclure un contrat "direct", dont le médecin et le laboratoire sont les signataires et par lequel le laboratoire paye directement le médecin, définissant notamment les droits et obligations de chacune des parties, ainsi que la nature et le mode de rémunération.</w:t>
      </w:r>
    </w:p>
    <w:p w:rsidR="00082A59" w:rsidRDefault="00082A59">
      <w:r>
        <w:t>A noter, à titre incident, qu'en cas de recherche sans bénéfice individuel direct, le titulaire de l'agrément doit également signer le contrat.</w:t>
      </w:r>
    </w:p>
    <w:p w:rsidR="00082A59" w:rsidRDefault="00082A59">
      <w:r>
        <w:t xml:space="preserve">En matière de recherche, les contrats conclu entre les médecins et les entreprises sont en  principe des contrats de </w:t>
      </w:r>
      <w:r>
        <w:rPr>
          <w:b/>
          <w:bCs/>
        </w:rPr>
        <w:t>prestations de service</w:t>
      </w:r>
      <w:r>
        <w:t xml:space="preserve">s, régis par le </w:t>
      </w:r>
      <w:r>
        <w:rPr>
          <w:b/>
          <w:bCs/>
        </w:rPr>
        <w:t xml:space="preserve">droit privé </w:t>
      </w:r>
      <w:r>
        <w:t xml:space="preserve">et donnant lieu au </w:t>
      </w:r>
      <w:r>
        <w:rPr>
          <w:b/>
          <w:bCs/>
        </w:rPr>
        <w:t>paiement d'honoraire</w:t>
      </w:r>
      <w:r>
        <w:t>s. D'autres formes de versements peuvent être en outre envisageables dans des cas plus limités.</w:t>
      </w:r>
    </w:p>
    <w:p w:rsidR="00082A59" w:rsidRDefault="00082A59">
      <w:r>
        <w:t>En tout état de cause, le mode de rémunération doit être en adéquation avec la nature du contrat et son objet.</w:t>
      </w:r>
    </w:p>
    <w:p w:rsidR="00082A59" w:rsidRDefault="00082A59">
      <w:r>
        <w:t>Chaque mode de paiement est soumis à un certain nombre d'exigences de fond et de forme.</w:t>
      </w:r>
    </w:p>
    <w:p w:rsidR="00082A59" w:rsidRDefault="00082A59">
      <w:r>
        <w:t>Les honoraires</w:t>
      </w:r>
    </w:p>
    <w:p w:rsidR="00082A59" w:rsidRDefault="00082A59"/>
    <w:p w:rsidR="00082A59" w:rsidRDefault="00082A59">
      <w:r>
        <w:t>1. La question de la qualification juridique des relations entre les médecins et les laboratoires</w:t>
      </w:r>
    </w:p>
    <w:p w:rsidR="00082A59" w:rsidRDefault="00082A59">
      <w:r>
        <w:t>Le versement d'honoraires présuppose que le contrat dans le cadre duquel il est effectué formalise la nature libérale de l'activité du médecin.</w:t>
      </w:r>
    </w:p>
    <w:p w:rsidR="00082A59" w:rsidRDefault="00082A59">
      <w:r>
        <w:t>Or, durant plusieurs années, des litiges ont opposé les URSSAF aux laboratoires sur le statut des investigateurs. En effet, certaines URSSAF avaient tendance à qualifier cette relation de salariat, avec ses implications corrélatives au plan de l'assujettissement aux cotisations sociales.</w:t>
      </w:r>
    </w:p>
    <w:p w:rsidR="00082A59" w:rsidRDefault="00082A59">
      <w:r>
        <w:t xml:space="preserve">En 1992, la Cour de Cassation a, dans un arrêt  du 16 janvier, confirmé </w:t>
      </w:r>
      <w:r>
        <w:rPr>
          <w:b/>
          <w:bCs/>
        </w:rPr>
        <w:t xml:space="preserve">le statut de travailleur indépendant </w:t>
      </w:r>
      <w:r>
        <w:t xml:space="preserve">des investigateurs. </w:t>
      </w:r>
    </w:p>
    <w:p w:rsidR="00082A59" w:rsidRDefault="00082A59">
      <w:r>
        <w:t>Malgré cet arrêt, certaines URSSAF continuent de maintenir cette qualification. Depuis cet arrêt de cassation, plusieurs affaires ont eu lieu opposant des URSSAF aux entreprises et les entreprises ont eu gain de cause sur le terrain de la qualification du travail  indépendant. Les URSSAF, maintenant leurs positions, sont régulièrement déboutées de leurs demandes.</w:t>
      </w:r>
    </w:p>
    <w:p w:rsidR="00082A59" w:rsidRDefault="00082A59">
      <w:r>
        <w:t>Cependant, il convient de souligner que cette qualification dépend tant du contrat lui-même que de l'organisation des relations entre le laboratoire et le médecin.</w:t>
      </w:r>
    </w:p>
    <w:p w:rsidR="00082A59" w:rsidRDefault="00082A59">
      <w:r>
        <w:rPr>
          <w:b/>
          <w:bCs/>
        </w:rPr>
        <w:t xml:space="preserve">En pratique, </w:t>
      </w:r>
      <w:r>
        <w:t xml:space="preserve">la réalité des relations entre le médecin et le laboratoire doit effectivement  </w:t>
      </w:r>
      <w:r>
        <w:rPr>
          <w:b/>
          <w:bCs/>
        </w:rPr>
        <w:t xml:space="preserve">refléter les obligations prévues au contrat </w:t>
      </w:r>
      <w:r>
        <w:t>pour que la qualification de travail indépendant ne puisse pas être remise en cause.</w:t>
      </w:r>
    </w:p>
    <w:p w:rsidR="00082A59" w:rsidRDefault="00082A59">
      <w:r>
        <w:t>2. Prestations de services de droit privé et médecins hospitaliers</w:t>
      </w:r>
    </w:p>
    <w:p w:rsidR="00082A59" w:rsidRDefault="00082A59">
      <w:r>
        <w:t>La question se pose souvent de savoir quelle est la nature de la relation entre le laboratoire et le médecin lorsque ce dernier est médecin hospitalier.</w:t>
      </w:r>
    </w:p>
    <w:p w:rsidR="00082A59" w:rsidRDefault="00082A59">
      <w:r>
        <w:t xml:space="preserve">Les médecins hospitaliers sont des </w:t>
      </w:r>
      <w:r>
        <w:rPr>
          <w:b/>
          <w:bCs/>
        </w:rPr>
        <w:t>agents public</w:t>
      </w:r>
      <w:r>
        <w:t>s.</w:t>
      </w:r>
    </w:p>
    <w:p w:rsidR="00082A59" w:rsidRDefault="00082A59">
      <w:r>
        <w:t xml:space="preserve">La réalisation par ceux-ci de recherches </w:t>
      </w:r>
      <w:r>
        <w:rPr>
          <w:b/>
          <w:bCs/>
        </w:rPr>
        <w:t>pour le compte de promoteurs privé</w:t>
      </w:r>
      <w:r>
        <w:t xml:space="preserve">s, au sein de l'hôpital, </w:t>
      </w:r>
      <w:r>
        <w:rPr>
          <w:b/>
          <w:bCs/>
        </w:rPr>
        <w:t xml:space="preserve">est licite </w:t>
      </w:r>
      <w:r>
        <w:t>(sous réserve toutefois que le directeur de l'hôpital en soit informé, en application de la loi du 20 décembre 1988).</w:t>
      </w:r>
    </w:p>
    <w:p w:rsidR="00082A59" w:rsidRDefault="00082A59">
      <w:r>
        <w:t xml:space="preserve">Elle s'exerce dans un </w:t>
      </w:r>
      <w:r>
        <w:rPr>
          <w:b/>
          <w:bCs/>
        </w:rPr>
        <w:t xml:space="preserve">cadre distinct </w:t>
      </w:r>
      <w:r>
        <w:t>de l'activité réalisée pour le compte de l'hôpital :</w:t>
      </w:r>
    </w:p>
    <w:p w:rsidR="00082A59" w:rsidRDefault="00082A59">
      <w:r>
        <w:t>il s'agit d'une activité personnelle des médecins constituant une prestation de services relevant du droit privé.</w:t>
      </w:r>
    </w:p>
    <w:p w:rsidR="00082A59" w:rsidRDefault="00082A59">
      <w:r>
        <w:t xml:space="preserve">Cette activité de recherche va donner lieu au paiement d'une </w:t>
      </w:r>
      <w:r>
        <w:rPr>
          <w:b/>
          <w:bCs/>
        </w:rPr>
        <w:t xml:space="preserve">rémunération, distincte </w:t>
      </w:r>
      <w:r>
        <w:t>du traitement perçu par le médecin en qualité d'agent public. Le cumul de la rémunération des médecins au titre de leurs activités hospitalières avec des rémunérations résultant de contrats de droit privé est régi par le décret-loi du 29 octobre 1936.</w:t>
      </w:r>
    </w:p>
    <w:p w:rsidR="00082A59" w:rsidRDefault="00082A59">
      <w:r>
        <w:t xml:space="preserve">La rémunération versée en contrepartie de cette prestation de services pour le compte d'une entreprise privée est qualifiée </w:t>
      </w:r>
      <w:r>
        <w:rPr>
          <w:b/>
          <w:bCs/>
        </w:rPr>
        <w:t>d'honoraire</w:t>
      </w:r>
      <w:r>
        <w:t>s.</w:t>
      </w:r>
    </w:p>
    <w:p w:rsidR="00082A59" w:rsidRDefault="00082A59">
      <w:r>
        <w:t>3. Les exigences légales préalables au versement d'honoraires</w:t>
      </w:r>
    </w:p>
    <w:p w:rsidR="00082A59" w:rsidRDefault="00082A59">
      <w:r>
        <w:t>a) Obligations pesant sur le médecin vis-à-vis des organismes sociaux</w:t>
      </w:r>
    </w:p>
    <w:p w:rsidR="00082A59" w:rsidRDefault="00082A59">
      <w:r>
        <w:t>* Les formalités à accomplir par le médecin  auquel les honoraires sont versés</w:t>
      </w:r>
    </w:p>
    <w:p w:rsidR="00082A59" w:rsidRDefault="00082A59">
      <w:r>
        <w:rPr>
          <w:b/>
          <w:bCs/>
        </w:rPr>
        <w:t xml:space="preserve">Tout médecin </w:t>
      </w:r>
      <w:r>
        <w:t>percevant des honoraires - y compris les médecins hospitaliers puisque leur</w:t>
      </w:r>
      <w:r>
        <w:rPr>
          <w:sz w:val="18"/>
          <w:szCs w:val="18"/>
        </w:rPr>
        <w:t xml:space="preserve"> </w:t>
      </w:r>
      <w:r>
        <w:t xml:space="preserve">statut leur permet un tel cumul - </w:t>
      </w:r>
      <w:r>
        <w:rPr>
          <w:b/>
          <w:bCs/>
        </w:rPr>
        <w:t>doit être immatriculé comme travailleur indépendan</w:t>
      </w:r>
      <w:r>
        <w:t>t.</w:t>
      </w:r>
    </w:p>
    <w:p w:rsidR="00082A59" w:rsidRDefault="00082A59">
      <w:r>
        <w:t xml:space="preserve">Cette immatriculation est </w:t>
      </w:r>
      <w:r>
        <w:rPr>
          <w:b/>
          <w:bCs/>
        </w:rPr>
        <w:t xml:space="preserve">obligatoire, quel que soit le montant des honoraires </w:t>
      </w:r>
      <w:r>
        <w:t xml:space="preserve">versés au médecin. En effet, les cotisations sociales sont exigibles </w:t>
      </w:r>
      <w:r>
        <w:rPr>
          <w:b/>
          <w:bCs/>
        </w:rPr>
        <w:t>dès le premier franc</w:t>
      </w:r>
      <w:r>
        <w:t>.</w:t>
      </w:r>
    </w:p>
    <w:p w:rsidR="00082A59" w:rsidRDefault="00082A59">
      <w:r>
        <w:t>Cette immatriculation engendrera l'obligation de paiement des cotisations sociales et de retraite afférentes à l'activité libérale :</w:t>
      </w:r>
    </w:p>
    <w:p w:rsidR="00082A59" w:rsidRDefault="00082A59">
      <w:r>
        <w:t>- auprès des caisses des non salariés : les cotisations d'assurance maladie, maternité ;</w:t>
      </w:r>
    </w:p>
    <w:p w:rsidR="00082A59" w:rsidRDefault="00082A59">
      <w:r>
        <w:t>- auprès des CARMF : vieillesse ;</w:t>
      </w:r>
    </w:p>
    <w:p w:rsidR="00082A59" w:rsidRDefault="00082A59">
      <w:r>
        <w:t>- auprès de l'URSSAF : la cotisation personnelle d'allocations familiales, la C.S.G., la C.R.D.S., la contribution à la formation professionnelle.</w:t>
      </w:r>
    </w:p>
    <w:p w:rsidR="00082A59" w:rsidRDefault="00082A59">
      <w:r>
        <w:t>Est jointe en annexe de la présente étude une note récapitulative de l'ensemble des cotisations sociales que les médecins travailleurs non salariés doivent verser aux  différentes caisses. Est également jointe, à titre illustratif, quelques simulations chiffrées de niveaux de cotisations en fonction de différents seuils de revenus.</w:t>
      </w:r>
    </w:p>
    <w:p w:rsidR="00082A59" w:rsidRDefault="00082A59">
      <w:r>
        <w:t>* La situation des collaborateurs du médecin</w:t>
      </w:r>
    </w:p>
    <w:p w:rsidR="00082A59" w:rsidRDefault="00082A59">
      <w:r>
        <w:t>Deux cas doivent être distingués :</w:t>
      </w:r>
    </w:p>
    <w:p w:rsidR="00082A59" w:rsidRDefault="00082A59">
      <w:r>
        <w:rPr>
          <w:b/>
          <w:bCs/>
        </w:rPr>
        <w:t xml:space="preserve">- Les collaborateurs médecins </w:t>
      </w:r>
      <w:r>
        <w:t xml:space="preserve">: ceux-ci peuvent bénéficier du versement d'honoraires par l'entreprise dans les mêmes conditions que celles mentionnées ci-dessus, si tant est qu'ils contribuent effectivement à la réalisation de la prestation. Un contrat doit être établi par le laboratoire avec chacun des investigateurs concourant à la réalisation de la recherche. Il est </w:t>
      </w:r>
      <w:r>
        <w:rPr>
          <w:b/>
          <w:bCs/>
        </w:rPr>
        <w:t xml:space="preserve">indispensable qu'ils soient également immatriculés </w:t>
      </w:r>
      <w:r>
        <w:t>comme travailleurs indépendants.</w:t>
      </w:r>
    </w:p>
    <w:p w:rsidR="00082A59" w:rsidRDefault="00082A59">
      <w:r>
        <w:t xml:space="preserve">- </w:t>
      </w:r>
      <w:r>
        <w:rPr>
          <w:b/>
          <w:bCs/>
        </w:rPr>
        <w:t xml:space="preserve">Les internes </w:t>
      </w:r>
      <w:r>
        <w:t xml:space="preserve">: Les internes sont dans une situation particulière au regard de la réalisation de recherche et de la perception d'honoraires. En effet, en application du statut des internes, ces derniers doivent consacrer </w:t>
      </w:r>
      <w:r>
        <w:rPr>
          <w:b/>
          <w:bCs/>
        </w:rPr>
        <w:t xml:space="preserve">la totalité de leur temps </w:t>
      </w:r>
      <w:r>
        <w:t>aux activités médicales, odontologiques ou pharmaceutiques et à leur formation.</w:t>
      </w:r>
    </w:p>
    <w:p w:rsidR="00082A59" w:rsidRDefault="00082A59">
      <w:r>
        <w:t>Les internes exercent leurs fonctions sous la responsabilité du praticien dont ils relèvent.</w:t>
      </w:r>
    </w:p>
    <w:p w:rsidR="00082A59" w:rsidRDefault="00082A59">
      <w:r>
        <w:t>La recherche n'est pas mentionnée parmi les activités autorisées aux internes. Par ailleurs, en application de la loi "Huriet-Sérusclat", les investigateurs ne peuvent être que des médecins, donc des praticiens titulaires d'un diplôme de docteur en médecine et inscrits au Conseil de l'Ordre, ce qui peut ne pas être le cas des internes.</w:t>
      </w:r>
    </w:p>
    <w:p w:rsidR="00082A59" w:rsidRDefault="00082A59">
      <w:r>
        <w:t>Le principe est donc que les internes exerçant des fonctions hospitalières et non titulaires d'un diplôme de docteur en médecine, ne peuvent pas réaliser de recherches et percevoir d'honoraires du fait de cette activité.</w:t>
      </w:r>
    </w:p>
    <w:p w:rsidR="00082A59" w:rsidRDefault="00082A59">
      <w:pPr>
        <w:rPr>
          <w:sz w:val="18"/>
          <w:szCs w:val="18"/>
        </w:rPr>
      </w:pPr>
      <w:r>
        <w:t xml:space="preserve">Cependant, les internes ont la possibilité </w:t>
      </w:r>
      <w:r>
        <w:rPr>
          <w:b/>
          <w:bCs/>
        </w:rPr>
        <w:t xml:space="preserve">d'être mis en disponibilité </w:t>
      </w:r>
      <w:r>
        <w:t xml:space="preserve">(en application de l'article 22 du décret n°83-785 du 2 septembre 1983), notamment pour réaliser des recherches, pendant une durée </w:t>
      </w:r>
      <w:r>
        <w:rPr>
          <w:b/>
          <w:bCs/>
        </w:rPr>
        <w:t>d'un an renouvelable une foi</w:t>
      </w:r>
      <w:r>
        <w:t>s. L'intéressé doit à cet effet formuler auprès de l'établissement ou de l'organisme dans lequel il exerce ses fonctions la demande, qui est le cas échéant transmise au directeur de l'établissement public de rattachement. Ayant obtenu son diplôme et sa qualification, le médecin peut être inscrit à l'Ordre des Médecins, ce qui lui permet de contribuer à des travaux de recherche.</w:t>
      </w:r>
    </w:p>
    <w:p w:rsidR="00082A59" w:rsidRDefault="00082A59">
      <w:r>
        <w:t xml:space="preserve">- </w:t>
      </w:r>
      <w:r>
        <w:rPr>
          <w:b/>
          <w:bCs/>
        </w:rPr>
        <w:t xml:space="preserve">Les collaborateurs non médecins </w:t>
      </w:r>
      <w:r>
        <w:t xml:space="preserve">: il peut s'agir d'infirmières, de personnels paramédicaux ou de secrétaires de l'hôpital. De par leur statut d'agents publics, ces personnes </w:t>
      </w:r>
      <w:r>
        <w:rPr>
          <w:b/>
          <w:bCs/>
        </w:rPr>
        <w:t>ne peuvent, en aucun cas, bénéficier de versements d'honoraires ni de rétrocessions d'honoraire</w:t>
      </w:r>
      <w:r>
        <w:t>s. Il leur est, en effet, interdit d'exercer une activité à titre indépendant.</w:t>
      </w:r>
    </w:p>
    <w:p w:rsidR="00082A59" w:rsidRDefault="00082A59">
      <w:r>
        <w:t>b) Les obligations pesant sur les entreprises</w:t>
      </w:r>
    </w:p>
    <w:p w:rsidR="00082A59" w:rsidRDefault="00082A59">
      <w:r>
        <w:t>En application du Code du Travail, l</w:t>
      </w:r>
      <w:r>
        <w:rPr>
          <w:b/>
          <w:bCs/>
        </w:rPr>
        <w:t xml:space="preserve">'entreprise, </w:t>
      </w:r>
      <w:r>
        <w:t xml:space="preserve">versant des honoraires à un médecin excédant un certain montant, </w:t>
      </w:r>
      <w:r>
        <w:rPr>
          <w:b/>
          <w:bCs/>
        </w:rPr>
        <w:t xml:space="preserve">doit vérifier </w:t>
      </w:r>
      <w:r>
        <w:t xml:space="preserve">que ce dernier </w:t>
      </w:r>
      <w:r>
        <w:rPr>
          <w:b/>
          <w:bCs/>
        </w:rPr>
        <w:t>est en règle au regard des dispositions de ce Cod</w:t>
      </w:r>
      <w:r>
        <w:t>e.</w:t>
      </w:r>
    </w:p>
    <w:p w:rsidR="00082A59" w:rsidRDefault="00082A59">
      <w:r>
        <w:t>Ces obligations s'insèrent dans le chapitre du Code du Travail relatif au travail dissimulé (Loi n°97-210 du 11 mars 1997, articles L. 324- 10 et suivants nouveaux).</w:t>
      </w:r>
    </w:p>
    <w:p w:rsidR="00082A59" w:rsidRDefault="00082A59">
      <w:r>
        <w:t>Selon ces dispositions, est réputé travail dissimulé par dissimulation d'activité "l'exercice à but lucratif d'une activité de... prestation de services ou l'accomplissement d'actes de commerce par toute personne physique ou morale qui s'est soustraite intentionnellement à l'une des obligations suivantes : ... b) ou n'a pas procédé aux déclarations qui doivent être faites aux organismes de protection sociale ou à l'administration fiscale en vertu des dispositions législatives et réglementaires en vigueur".</w:t>
      </w:r>
    </w:p>
    <w:p w:rsidR="00082A59" w:rsidRDefault="00082A59">
      <w:r>
        <w:t xml:space="preserve">Le Code du Travail institue une </w:t>
      </w:r>
      <w:r>
        <w:rPr>
          <w:b/>
          <w:bCs/>
        </w:rPr>
        <w:t>co-responsabilit</w:t>
      </w:r>
      <w:r>
        <w:t xml:space="preserve">é, au regard de ces obligations, entre les co-contractants, c'est-à-dire </w:t>
      </w:r>
      <w:r>
        <w:rPr>
          <w:b/>
          <w:bCs/>
        </w:rPr>
        <w:t xml:space="preserve">entre le prestataire de services et l'entreprise </w:t>
      </w:r>
      <w:r>
        <w:t>pour le compte de laquelle la prestation est réalisée.</w:t>
      </w:r>
    </w:p>
    <w:p w:rsidR="00082A59" w:rsidRDefault="00082A59">
      <w:r>
        <w:t xml:space="preserve">L'article L. 324-14 du Code du Travail prévoit l'obligation pour toute personne ou entreprise concluant un contrat supérieur à 20.000 F, </w:t>
      </w:r>
      <w:r>
        <w:rPr>
          <w:b/>
          <w:bCs/>
        </w:rPr>
        <w:t>de vérifier si le co-contractant (donc le médecin) est en règle au regard des dispositions visées ci-dessu</w:t>
      </w:r>
      <w:r>
        <w:t>s.</w:t>
      </w:r>
    </w:p>
    <w:p w:rsidR="00082A59" w:rsidRDefault="00082A59">
      <w:r>
        <w:t>Cette limite de 20.000 F, dont le montant s'évalue TTC, s'apprécie au jour de la conclusion du contrat.</w:t>
      </w:r>
    </w:p>
    <w:p w:rsidR="00082A59" w:rsidRDefault="00082A59">
      <w:r>
        <w:t xml:space="preserve">La </w:t>
      </w:r>
      <w:r>
        <w:rPr>
          <w:b/>
          <w:bCs/>
        </w:rPr>
        <w:t xml:space="preserve">vérification </w:t>
      </w:r>
      <w:r>
        <w:t xml:space="preserve">doit être effectuée </w:t>
      </w:r>
      <w:r>
        <w:rPr>
          <w:b/>
          <w:bCs/>
        </w:rPr>
        <w:t xml:space="preserve">lors de la conclusion de chaque contrat </w:t>
      </w:r>
      <w:r>
        <w:t>d'une valeur égale ou supérieure à cette limite, quel que soit le nombre de contrats passés au cours d'une année entre l'entreprise et le médecin.</w:t>
      </w:r>
    </w:p>
    <w:p w:rsidR="00082A59" w:rsidRDefault="00082A59">
      <w:r>
        <w:t>Par ailleurs, en cas de contrats à exécution successive pour une même prestation, c'est le montant global du contrat pour l'ensemble de la prestation qui doit être pris en compte, et non pas le montant de chaque contrat pris séparément.</w:t>
      </w:r>
    </w:p>
    <w:p w:rsidR="00082A59" w:rsidRDefault="00082A59">
      <w:r>
        <w:t>Le découpage artificiel de la prestation en plusieurs contrats d'un montant inférieur à 20.000 F serait considéré comme une fraude à la loi.</w:t>
      </w:r>
    </w:p>
    <w:p w:rsidR="00082A59" w:rsidRDefault="00082A59">
      <w:r>
        <w:t xml:space="preserve">Afin de remplir son obligation de vérification, l'entreprise doit demander, au moment de la conclusion du contrat, au médecin </w:t>
      </w:r>
      <w:r>
        <w:rPr>
          <w:b/>
          <w:bCs/>
        </w:rPr>
        <w:t xml:space="preserve">de fournir </w:t>
      </w:r>
      <w:r>
        <w:t>:</w:t>
      </w:r>
    </w:p>
    <w:p w:rsidR="00082A59" w:rsidRDefault="00082A59">
      <w:pPr>
        <w:rPr>
          <w:b/>
          <w:bCs/>
        </w:rPr>
      </w:pPr>
      <w:r>
        <w:t xml:space="preserve">- une </w:t>
      </w:r>
      <w:r>
        <w:rPr>
          <w:b/>
          <w:bCs/>
        </w:rPr>
        <w:t xml:space="preserve">attestation de fourniture de déclarations sociales </w:t>
      </w:r>
      <w:r>
        <w:t xml:space="preserve">émanant de l'organisme de protection sociale chargé du recouvrement des cotisations sociales incombant au médecin et datant de moins d'un an, ou un </w:t>
      </w:r>
      <w:r>
        <w:rPr>
          <w:b/>
          <w:bCs/>
        </w:rPr>
        <w:t>avis d'imposition à la taxe professionnelle de l'exercice précédent ;</w:t>
      </w:r>
    </w:p>
    <w:p w:rsidR="00082A59" w:rsidRDefault="00082A59">
      <w:r>
        <w:t xml:space="preserve">- si le médecin emploie des salariés, une </w:t>
      </w:r>
      <w:r>
        <w:rPr>
          <w:b/>
          <w:bCs/>
        </w:rPr>
        <w:t xml:space="preserve">attestation sur l'honneur </w:t>
      </w:r>
      <w:r>
        <w:t>certifiant que le travail sera réalisé avec des salariés employés régulièrement au regard, notamment, des articles L. 143-3, L. 143-5 et L. 620-3 du Code</w:t>
      </w:r>
    </w:p>
    <w:p w:rsidR="00082A59" w:rsidRDefault="00082A59">
      <w:r>
        <w:t>du Travail.</w:t>
      </w:r>
    </w:p>
    <w:p w:rsidR="00082A59" w:rsidRDefault="00082A59">
      <w:pPr>
        <w:rPr>
          <w:sz w:val="18"/>
          <w:szCs w:val="18"/>
        </w:rPr>
      </w:pPr>
      <w:r>
        <w:t xml:space="preserve">Les </w:t>
      </w:r>
      <w:r>
        <w:rPr>
          <w:b/>
          <w:bCs/>
        </w:rPr>
        <w:t xml:space="preserve">sanctions </w:t>
      </w:r>
      <w:r>
        <w:t>du non respect de ces obligations sont de deux ordres :</w:t>
      </w:r>
    </w:p>
    <w:p w:rsidR="00082A59" w:rsidRDefault="00082A59">
      <w:r>
        <w:t xml:space="preserve">- les articles L. 362-3 et L. 362-4 prévoient les </w:t>
      </w:r>
      <w:r>
        <w:rPr>
          <w:b/>
          <w:bCs/>
        </w:rPr>
        <w:t xml:space="preserve">sanctions pénales </w:t>
      </w:r>
      <w:r>
        <w:t>: deux ans d'emprisonnement et 200.000 F d'amende et, le cas échéant, des peines complémentaires parmi lesquelles l'exclusion des marchés</w:t>
      </w:r>
    </w:p>
    <w:p w:rsidR="00082A59" w:rsidRDefault="00082A59">
      <w:r>
        <w:t>publics pour cinq ans au plus ;</w:t>
      </w:r>
    </w:p>
    <w:p w:rsidR="00082A59" w:rsidRDefault="00082A59">
      <w:r>
        <w:t xml:space="preserve">- l'article L. 324-14 prévoit que toute personne qui ne s'est pas assurée de la régularité de la situation du co-contractant pour les contrats supérieurs à 20.000 F, </w:t>
      </w:r>
      <w:r>
        <w:rPr>
          <w:b/>
          <w:bCs/>
        </w:rPr>
        <w:t>est tenue solidairement au paiement des impôts, taxes et cotisations obligatoires au Trésor et aux organismes de protection social</w:t>
      </w:r>
      <w:r>
        <w:t>e.</w:t>
      </w:r>
    </w:p>
    <w:p w:rsidR="00082A59" w:rsidRDefault="00082A59">
      <w:r>
        <w:t>Il convient de souligner que ce seuil de 20.000 F n'est absolument pas incompatible avec le fait que le médecin bénéficiaire d'honoraires doit verser des cotisations sociales dès le premier franc d'honoraires perçus. Le seuil de 20.000 F est en effet un seuil au-delà duquel l'entreprise doit procéder aux vérifications requises par la loi et est déclarée solidaire en cas de non-paiement de ses impôts et taxes par le médecin.</w:t>
      </w:r>
    </w:p>
    <w:p w:rsidR="00082A59" w:rsidRDefault="00082A59">
      <w:r>
        <w:t>Ce seuil, qui engendre des obligations à la charge des entreprises, est sans incidence sur le fait que le médecin doit pour sa part, cotiser sur le premier franc.</w:t>
      </w:r>
    </w:p>
    <w:p w:rsidR="00082A59" w:rsidRDefault="00082A59">
      <w:r>
        <w:t>4. Les exigences d'ordre fiscal incombant au praticien</w:t>
      </w:r>
    </w:p>
    <w:p w:rsidR="00082A59" w:rsidRDefault="00082A59">
      <w:r>
        <w:rPr>
          <w:b/>
          <w:bCs/>
        </w:rPr>
        <w:t xml:space="preserve">REMARQUE PRÉALABLE </w:t>
      </w:r>
      <w:r>
        <w:t>: Les notes d'honoraires établies par un praticien ne peuvent en aucun cas être présentées sur du papier à en tête de l'hôpital. Les notes d'honoraires doivent remplir les mêmes conditions de forme qu'une facture, à savoir qu'elles doivent comporter (article 289 du CGI) : la date et un numéro de facture, les noms du fournisseur et du client, leur adresse ou siège social, la date de facturation (en cas de facturation différée), la dénomination de la prestation, le prix HT et le taux de TVA (sauf en cas de prestation d'un montant inférieur aux seuils d'exigibilité de la TVA) et le montant de la TVA, et éventuellement la mention des rabais ou ristournes).</w:t>
      </w:r>
    </w:p>
    <w:p w:rsidR="00082A59" w:rsidRDefault="00082A59">
      <w:r>
        <w:t>a) La TVA</w:t>
      </w:r>
    </w:p>
    <w:p w:rsidR="00082A59" w:rsidRDefault="00082A59">
      <w:r>
        <w:t xml:space="preserve">La réalisation d'une prestation de services à titre indépendant place le médecin dans la situation de devoir respecter les obligations fiscales incombant aux titulaires de </w:t>
      </w:r>
      <w:r>
        <w:rPr>
          <w:b/>
          <w:bCs/>
        </w:rPr>
        <w:t>bénéfices non commerciau</w:t>
      </w:r>
      <w:r>
        <w:t>x.</w:t>
      </w:r>
    </w:p>
    <w:p w:rsidR="00082A59" w:rsidRDefault="00082A59">
      <w:r>
        <w:t xml:space="preserve">Quelles que soient les modalités de déclaration de son bénéfice imposable, le médecin est tenu, comme les autres redevables, à la délivrance d'une </w:t>
      </w:r>
      <w:r>
        <w:rPr>
          <w:b/>
          <w:bCs/>
        </w:rPr>
        <w:t xml:space="preserve">facture </w:t>
      </w:r>
      <w:r>
        <w:t xml:space="preserve">comportant les mentions légales obligatoires. Au regard plus spécifiquement de la </w:t>
      </w:r>
      <w:r>
        <w:rPr>
          <w:b/>
          <w:bCs/>
        </w:rPr>
        <w:t>TV</w:t>
      </w:r>
      <w:r>
        <w:t xml:space="preserve">A, le médecin investigateur peut bénéficier de </w:t>
      </w:r>
      <w:r>
        <w:rPr>
          <w:b/>
          <w:bCs/>
        </w:rPr>
        <w:t xml:space="preserve">l'exonération </w:t>
      </w:r>
      <w:r>
        <w:t xml:space="preserve">relative aux activités de soins, prévue à </w:t>
      </w:r>
      <w:r>
        <w:rPr>
          <w:b/>
          <w:bCs/>
        </w:rPr>
        <w:t xml:space="preserve">l'article 261.4.1er du CGI, </w:t>
      </w:r>
      <w:r>
        <w:t>pour les travaux d'expérimentation qu'il réalise pour le compte d'entreprises pharmaceutiques.</w:t>
      </w:r>
    </w:p>
    <w:p w:rsidR="00082A59" w:rsidRDefault="00082A59">
      <w:r>
        <w:t xml:space="preserve">Pour les autres types de prestations de services, la TVA est en principe due, sous réserve de la </w:t>
      </w:r>
      <w:r>
        <w:rPr>
          <w:b/>
          <w:bCs/>
        </w:rPr>
        <w:t xml:space="preserve">franchise en base </w:t>
      </w:r>
      <w:r>
        <w:t xml:space="preserve">applicable lorsque le </w:t>
      </w:r>
      <w:r>
        <w:rPr>
          <w:b/>
          <w:bCs/>
        </w:rPr>
        <w:t xml:space="preserve">chiffre d'affaires hors taxes de l'année précédente n'excède pas 175.000 </w:t>
      </w:r>
      <w:r>
        <w:t xml:space="preserve">F (nouveau seuil applicable depuis le 1er janvier 1999). Dans ce cas, le médecin est dispensé de la déclaration et du paiement de la TVA. En contrepartie de l'absence de facturation de la taxe à ses clients, il ne bénéficie d'aucun droit à déduction sur ses achats. Il peut cependant opter pour le paiement de la TVA. S'il se place sous le régime de la franchise, la </w:t>
      </w:r>
      <w:r>
        <w:rPr>
          <w:b/>
          <w:bCs/>
        </w:rPr>
        <w:t xml:space="preserve">mention </w:t>
      </w:r>
      <w:r>
        <w:t>"TVA non applicable, article 293B du CGI" doit être portée sur la facture.</w:t>
      </w:r>
    </w:p>
    <w:p w:rsidR="00082A59" w:rsidRDefault="00082A59">
      <w:r>
        <w:t>La franchise en base est de droit dès la première année d'activité. En cas dedémarrage de l'activité en cours d'année, la limite de 175.000 F doit alors être ajustée au prorata du temps d'exploitation de l'entreprise</w:t>
      </w:r>
    </w:p>
    <w:p w:rsidR="00082A59" w:rsidRDefault="00082A59">
      <w:r>
        <w:t xml:space="preserve">au cours de l'année. Ex : si l'activité débute le 1er juillet, la franchise sera d'un maximum de 87.500 F pour l'année en cours, correspondant à six mois d'activité. L'article 293 B fixe également le seuil dont le </w:t>
      </w:r>
      <w:r>
        <w:rPr>
          <w:b/>
          <w:bCs/>
        </w:rPr>
        <w:t xml:space="preserve">dépassement en cours d'année </w:t>
      </w:r>
      <w:r>
        <w:t xml:space="preserve">rend l'assujetti redevable de la TVA. Ainsi, au-delà du seuil de </w:t>
      </w:r>
      <w:r>
        <w:rPr>
          <w:b/>
          <w:bCs/>
        </w:rPr>
        <w:t xml:space="preserve">200.000 </w:t>
      </w:r>
      <w:r>
        <w:t>F de chiffre d'affaires hors taxes, le médecin devient assujetti à la TVA à compter du premier jour du mois au cours duquel ce chiffre d'affaires a été dépassé.</w:t>
      </w:r>
    </w:p>
    <w:p w:rsidR="00082A59" w:rsidRDefault="00082A59">
      <w:r>
        <w:t>b) La taxe professionnelle</w:t>
      </w:r>
    </w:p>
    <w:p w:rsidR="00082A59" w:rsidRDefault="00082A59">
      <w:r>
        <w:t>- Qui doit payer la taxe professionnelle ?</w:t>
      </w:r>
    </w:p>
    <w:p w:rsidR="00082A59" w:rsidRDefault="00082A59">
      <w:r>
        <w:t xml:space="preserve">L'article 1447 du CGI prévoit que "la taxe professionnelle est due chaque année par les </w:t>
      </w:r>
      <w:r>
        <w:rPr>
          <w:b/>
          <w:bCs/>
        </w:rPr>
        <w:t xml:space="preserve">personnes physiques </w:t>
      </w:r>
      <w:r>
        <w:t xml:space="preserve">ou morales qui exercent à </w:t>
      </w:r>
      <w:r>
        <w:rPr>
          <w:b/>
          <w:bCs/>
        </w:rPr>
        <w:t xml:space="preserve">titre habituel </w:t>
      </w:r>
      <w:r>
        <w:t>une activité professionnelle non salariée".</w:t>
      </w:r>
    </w:p>
    <w:p w:rsidR="00082A59" w:rsidRDefault="00082A59">
      <w:r>
        <w:t xml:space="preserve">Ainsi, les médecins, exerçant </w:t>
      </w:r>
      <w:r>
        <w:rPr>
          <w:b/>
          <w:bCs/>
        </w:rPr>
        <w:t>à titre libéra</w:t>
      </w:r>
      <w:r>
        <w:t xml:space="preserve">l, soit en cabinet, soit au sein d'un hôpital et imposés au titre des </w:t>
      </w:r>
      <w:r>
        <w:rPr>
          <w:b/>
          <w:bCs/>
        </w:rPr>
        <w:t>bénéfices non commerciau</w:t>
      </w:r>
      <w:r>
        <w:t xml:space="preserve">x, sont normalement redevables de la taxe professionnelle. Toutefois, tous les médecins libéraux sont exonérés de la taxe professionnelle au titre de leur première année d'activité. Les médecins </w:t>
      </w:r>
      <w:r>
        <w:rPr>
          <w:b/>
          <w:bCs/>
        </w:rPr>
        <w:t xml:space="preserve">salariés </w:t>
      </w:r>
      <w:r>
        <w:t>ne sont pas visés par ce texte.</w:t>
      </w:r>
    </w:p>
    <w:p w:rsidR="00082A59" w:rsidRDefault="00082A59">
      <w:r>
        <w:t>- Éléments de calcul de la taxe</w:t>
      </w:r>
    </w:p>
    <w:p w:rsidR="00082A59" w:rsidRDefault="00082A59">
      <w:r>
        <w:t>La taxe professionnelle concernant un médecin libéral travaillant seul (ou employant moins de cinq salariés) est calculée sur la base de deux critères.</w:t>
      </w:r>
    </w:p>
    <w:p w:rsidR="00082A59" w:rsidRDefault="00082A59">
      <w:r>
        <w:t>* la valeur locative de l'immeuble</w:t>
      </w:r>
    </w:p>
    <w:p w:rsidR="00082A59" w:rsidRDefault="00082A59">
      <w:r>
        <w:t xml:space="preserve">Dans le cas d'un médecin exerçant à titre libéral en cabinet privé, la valeur locative prise en compte est celle de l'immeuble, déterminée </w:t>
      </w:r>
      <w:r>
        <w:rPr>
          <w:b/>
          <w:bCs/>
        </w:rPr>
        <w:t>dans chaque commun</w:t>
      </w:r>
      <w:r>
        <w:t>e, dans lequel le médecin exerce sa profession.</w:t>
      </w:r>
    </w:p>
    <w:p w:rsidR="00082A59" w:rsidRDefault="00082A59">
      <w:r>
        <w:t>Dans le cas d'un médecin exerçant à titre libéral dans un établissement hospitalier, et lorsque le médecin utilise une partie des locaux de l'hôpital à titre personnel, partiellement ou simultanément avec d'autres confrères, il est admis que ces locaux n'entrent pas dans la base de sa taxe professionnelle sous réserve que les conditions suivantes soient remplies :</w:t>
      </w:r>
    </w:p>
    <w:p w:rsidR="00082A59" w:rsidRDefault="00082A59">
      <w:r>
        <w:t>- l'hôpital est seul responsable de l'entretien, du renouvellement et du choix du matériel et supporte le paiement des frais y afférent ;</w:t>
      </w:r>
    </w:p>
    <w:p w:rsidR="00082A59" w:rsidRDefault="00082A59">
      <w:r>
        <w:t>- le médecin ne bénéficie pas d'autonomie dans l'exercice de son activité au sein de l'établissement hospitalier.</w:t>
      </w:r>
    </w:p>
    <w:p w:rsidR="00082A59" w:rsidRDefault="00082A59">
      <w:r>
        <w:t>Il en résulte que dans la majorité des cas, seul le médecin exerçant en cabinet privé doit comprendre dans les bases de sa taxe professionnelle la valeur locative de l'immeuble ou il exerce.</w:t>
      </w:r>
    </w:p>
    <w:p w:rsidR="00082A59" w:rsidRDefault="00082A59">
      <w:r>
        <w:t>* Les recettes</w:t>
      </w:r>
    </w:p>
    <w:p w:rsidR="00082A59" w:rsidRDefault="00082A59">
      <w:r>
        <w:t xml:space="preserve">Sont pris en compte pour le calcul de la taxe professionnelle, </w:t>
      </w:r>
      <w:r>
        <w:rPr>
          <w:b/>
          <w:bCs/>
        </w:rPr>
        <w:t xml:space="preserve">10 % des revenus soumis à l'impôt sur le revenu tous droits et taxes compris </w:t>
      </w:r>
      <w:r>
        <w:t>desquels sont retranchés les rétrocessions d'honoraires à des tiers, réalisées en bonnes et dues formes.</w:t>
      </w:r>
    </w:p>
    <w:p w:rsidR="00082A59" w:rsidRDefault="00082A59">
      <w:r>
        <w:t xml:space="preserve">En cas de recettes minimes, le médecin paye une </w:t>
      </w:r>
      <w:r>
        <w:rPr>
          <w:b/>
          <w:bCs/>
        </w:rPr>
        <w:t xml:space="preserve">cotisation minimum </w:t>
      </w:r>
      <w:r>
        <w:t>qui varie en fonction de chaque commune.</w:t>
      </w:r>
    </w:p>
    <w:p w:rsidR="00082A59" w:rsidRDefault="00082A59">
      <w:r>
        <w:t xml:space="preserve">La taxe professionnelle est calculée sur la base des critères définis ci dessus au titre de </w:t>
      </w:r>
      <w:r>
        <w:rPr>
          <w:b/>
          <w:bCs/>
        </w:rPr>
        <w:t xml:space="preserve">l'avant dernière année </w:t>
      </w:r>
      <w:r>
        <w:t>précédant celle de l'imposition (1996 pour la déclaration au titre de 1998) ou sur les éléments comptabilisés au 31 décembre de la première année pour les deux premières années d'activité.</w:t>
      </w:r>
    </w:p>
    <w:p w:rsidR="00082A59" w:rsidRDefault="00082A59">
      <w:pPr>
        <w:rPr>
          <w:sz w:val="18"/>
          <w:szCs w:val="18"/>
        </w:rPr>
      </w:pPr>
      <w:r>
        <w:t>5. Le versement d'honoraires en nature</w:t>
      </w:r>
    </w:p>
    <w:p w:rsidR="00082A59" w:rsidRDefault="00082A59">
      <w:pPr>
        <w:rPr>
          <w:b/>
          <w:bCs/>
        </w:rPr>
      </w:pPr>
      <w:r>
        <w:t xml:space="preserve">Les entreprises peuvent être amenées à verser des honoraires en nature, par exemple sous forme de </w:t>
      </w:r>
      <w:r>
        <w:rPr>
          <w:b/>
          <w:bCs/>
        </w:rPr>
        <w:t>remises d'objets.</w:t>
      </w:r>
    </w:p>
    <w:p w:rsidR="00082A59" w:rsidRDefault="00082A59">
      <w:r>
        <w:t xml:space="preserve">Les versements d'honoraires en nature sont soumis aux </w:t>
      </w:r>
      <w:r>
        <w:rPr>
          <w:b/>
          <w:bCs/>
        </w:rPr>
        <w:t xml:space="preserve">mêmes contraintes pour le médecin </w:t>
      </w:r>
      <w:r>
        <w:t>que les versements en numéraire.</w:t>
      </w:r>
    </w:p>
    <w:p w:rsidR="00082A59" w:rsidRDefault="00082A59">
      <w:r>
        <w:t>Cela signifie, notamment, que pour pouvoir en bénéficier, le médecin devra avoir un numéro de travailleur indépendant et verser des cotisations sociales calculées sur la valeur de la rémunération en nature.</w:t>
      </w:r>
    </w:p>
    <w:p w:rsidR="00082A59" w:rsidRDefault="00082A59">
      <w:r>
        <w:t>Pour cela, la valeur et la nature des objets remis doivent figurer dans la convention qui sera par ailleurs soumise à l'Ordre des  Médecins compétent. La nature de l'objet remis doit être compatible avec la déontologie du médecin.</w:t>
      </w:r>
    </w:p>
    <w:p w:rsidR="00082A59" w:rsidRDefault="00082A59">
      <w:r>
        <w:t>Il convient également de faire apparaître dans le contrat passé avec le médecin les modalités de réduction de la rémunération en nature, voire sa transformation en rémunération en numéraire dans le cas où la prestation n'aurait pas été intégralement réalisée ou lorsque le mode de calcul de la rémunération est lié à un nombre déterminé d'observations exploitables.</w:t>
      </w:r>
    </w:p>
    <w:p w:rsidR="00082A59" w:rsidRDefault="00082A59">
      <w:r>
        <w:t xml:space="preserve">Enfin, il convient de souligner que la </w:t>
      </w:r>
      <w:r>
        <w:rPr>
          <w:b/>
          <w:bCs/>
        </w:rPr>
        <w:t xml:space="preserve">gestion juridique </w:t>
      </w:r>
      <w:r>
        <w:t xml:space="preserve">(transfert de risques et de propriété) </w:t>
      </w:r>
      <w:r>
        <w:rPr>
          <w:b/>
          <w:bCs/>
        </w:rPr>
        <w:t xml:space="preserve">comptable et fiscale </w:t>
      </w:r>
      <w:r>
        <w:t xml:space="preserve">de ce type de rémunération est particulièrement </w:t>
      </w:r>
      <w:r>
        <w:rPr>
          <w:b/>
          <w:bCs/>
        </w:rPr>
        <w:t>lourde pour l'entrepris</w:t>
      </w:r>
      <w:r>
        <w:t>e.</w:t>
      </w:r>
    </w:p>
    <w:p w:rsidR="00082A59" w:rsidRDefault="00082A59">
      <w:r>
        <w:t>6. Le dessaisissement d'honoraires</w:t>
      </w:r>
    </w:p>
    <w:p w:rsidR="00082A59" w:rsidRDefault="00082A59">
      <w:r>
        <w:t xml:space="preserve">Cette pratique consiste pour un médecin investigateur, engagé contractuellement avec une entreprise pharmaceutique, à </w:t>
      </w:r>
      <w:r>
        <w:rPr>
          <w:b/>
          <w:bCs/>
        </w:rPr>
        <w:t xml:space="preserve">renoncer à ses droits pécuniaires </w:t>
      </w:r>
      <w:r>
        <w:t>généralement au profit d'une association à vocation scientifique ou  médicale.</w:t>
      </w:r>
    </w:p>
    <w:p w:rsidR="00082A59" w:rsidRDefault="00082A59">
      <w:r>
        <w:t xml:space="preserve">Elle comporte des </w:t>
      </w:r>
      <w:r>
        <w:rPr>
          <w:b/>
          <w:bCs/>
        </w:rPr>
        <w:t>incidences fiscale</w:t>
      </w:r>
      <w:r>
        <w:t>s, notamment pour les entreprises qui y ont recours, du fait de la notion de bénéficiaire fiscal qui découle de la doctrine de l'administration fiscale.</w:t>
      </w:r>
    </w:p>
    <w:p w:rsidR="00082A59" w:rsidRDefault="00082A59">
      <w:r>
        <w:t xml:space="preserve">Celle-ci n'ayant jamais officiellement reconnu les conditions d'un régime dérogatoire permettant de déclarer l'association comme bénéficiaire des sommes, il convient de recourir au dessaisissement de façon </w:t>
      </w:r>
      <w:r>
        <w:rPr>
          <w:b/>
          <w:bCs/>
        </w:rPr>
        <w:t>limité</w:t>
      </w:r>
      <w:r>
        <w:t xml:space="preserve">e. Cette </w:t>
      </w:r>
      <w:r>
        <w:rPr>
          <w:b/>
          <w:bCs/>
        </w:rPr>
        <w:t xml:space="preserve">prudence </w:t>
      </w:r>
      <w:r>
        <w:t xml:space="preserve">est d'autant plus requise que la </w:t>
      </w:r>
      <w:r>
        <w:rPr>
          <w:b/>
          <w:bCs/>
        </w:rPr>
        <w:t xml:space="preserve">jurisprudence </w:t>
      </w:r>
      <w:r>
        <w:t>d'une Cour Administrative d'Appel, ayant fait l'objet d'un recours en Conseil d'État, a confirmé la position de l'administration fiscale en 1995 en s'appuyant sur l'existence d'un lien juridique entre l'entreprise et l'investigateur.</w:t>
      </w:r>
    </w:p>
    <w:p w:rsidR="00082A59" w:rsidRDefault="00082A59">
      <w:r>
        <w:t>Compte tenu de ce contexte général, il est donc recommandé d'éviter d'avoir recours au dessaisissement d'honoraires.</w:t>
      </w:r>
    </w:p>
    <w:p w:rsidR="00082A59" w:rsidRDefault="00082A59">
      <w:r>
        <w:t>7. L'article L. 365-1 du Code de la Santé Publique</w:t>
      </w:r>
    </w:p>
    <w:p w:rsidR="00082A59" w:rsidRDefault="00082A59">
      <w:r>
        <w:t>L'article L. 365-1 du Code de la Santé Publique prévoit l'obligation pour les entreprises de soumettre à l'avis de l'Ordre compétent les conventions de recherche et d'évaluation scientifique. Les praticiens doivent ensuite notifier le contrat à leur Ordre départemental sur le fondement de l'article L. 462 du Code de la Santé Publique.</w:t>
      </w:r>
    </w:p>
    <w:p w:rsidR="00082A59" w:rsidRDefault="00082A59">
      <w:r>
        <w:t>Lorsque les activités de recherche ont lieu dans le cadre d'un établissement hospitalier, la convention doit être transmise par le praticien au Directeur de l'hôpital.</w:t>
      </w:r>
    </w:p>
    <w:p w:rsidR="00082A59" w:rsidRDefault="00082A59">
      <w:r>
        <w:t>2) Les droits d'auteur</w:t>
      </w:r>
    </w:p>
    <w:p w:rsidR="00082A59" w:rsidRDefault="00082A59">
      <w:pPr>
        <w:rPr>
          <w:b/>
          <w:bCs/>
        </w:rPr>
      </w:pPr>
      <w:r>
        <w:t>En principe, le Code de la Propriété Intellectuelle prévoit la protection, par le droit d'auteur, des oeuvres présentant un caractère d</w:t>
      </w:r>
      <w:r>
        <w:rPr>
          <w:b/>
          <w:bCs/>
        </w:rPr>
        <w:t>'originalité.</w:t>
      </w:r>
    </w:p>
    <w:p w:rsidR="00082A59" w:rsidRDefault="00082A59">
      <w:r>
        <w:t xml:space="preserve">Le corollaire de cette protection est le versement de droits d'auteur, en principe </w:t>
      </w:r>
      <w:r>
        <w:rPr>
          <w:b/>
          <w:bCs/>
        </w:rPr>
        <w:t>proportionnels au montant des recettes</w:t>
      </w:r>
      <w:r>
        <w:rPr>
          <w:sz w:val="18"/>
          <w:szCs w:val="18"/>
        </w:rPr>
        <w:t xml:space="preserve"> </w:t>
      </w:r>
      <w:r>
        <w:t xml:space="preserve">provenant de la vente ou de d'exploitation de l'oeuvre. Les droits d'auteur peuvent, cependant, être calculés de manière </w:t>
      </w:r>
      <w:r>
        <w:rPr>
          <w:b/>
          <w:bCs/>
        </w:rPr>
        <w:t xml:space="preserve">forfaitaire </w:t>
      </w:r>
      <w:r>
        <w:t>dans les cas limitativement énumérés par le Code de la Propriété Intellectuelle.</w:t>
      </w:r>
    </w:p>
    <w:p w:rsidR="00082A59" w:rsidRDefault="00082A59">
      <w:r>
        <w:t xml:space="preserve">Les droits d'auteur sont soumis à cotisations sociales, </w:t>
      </w:r>
      <w:r>
        <w:rPr>
          <w:b/>
          <w:bCs/>
        </w:rPr>
        <w:t>gérées par un organisme spécifique,les AGESSA</w:t>
      </w:r>
      <w:r>
        <w:t>. Les cotisations sont versées par la personne qui exploite, diffuse, reproduit et plus généralement utilise l'oeuvre. Les auteurs sont donc de cette manière assujettis au régime de sécurité sociale spécifique.</w:t>
      </w:r>
    </w:p>
    <w:p w:rsidR="00082A59" w:rsidRDefault="00082A59">
      <w:r>
        <w:t>Cependant, compte tenu du régime social (et fiscal) avantageux des droits d'auteur, les AGESSA ont précisé de manière restrictive les conditions de fond dans lesquelles les auteurs peuvent être affiliés (et donc dans lesquelles</w:t>
      </w:r>
    </w:p>
    <w:p w:rsidR="00082A59" w:rsidRDefault="00082A59">
      <w:r>
        <w:t>des droits d'auteur peuvent être versés).</w:t>
      </w:r>
    </w:p>
    <w:p w:rsidR="00082A59" w:rsidRDefault="00082A59">
      <w:r>
        <w:t xml:space="preserve">Dans leur brochure explicative des conditions d'affiliation à la branche des écrivains, les AGESSA </w:t>
      </w:r>
      <w:r>
        <w:rPr>
          <w:b/>
          <w:bCs/>
        </w:rPr>
        <w:t xml:space="preserve">excluent l'affiliation aux AGESSA </w:t>
      </w:r>
      <w:r>
        <w:t>notamment des :</w:t>
      </w:r>
    </w:p>
    <w:p w:rsidR="00082A59" w:rsidRDefault="00082A59">
      <w:r>
        <w:t>- rédacteurs de travaux d'études et de recherches qui ne donnent pas lieu, en tant que tels, à une édition et une commercialisation (au sens vente au public) ou dont les travaux rédactionnels connaissent une diffusion limitée à un public pré-sélectionné ;</w:t>
      </w:r>
    </w:p>
    <w:p w:rsidR="00082A59" w:rsidRDefault="00082A59">
      <w:r>
        <w:t>- concepteurs-rédacteurs d'écrits, quelle qu'en soit la nature, et quels que soient les supports de diffusion, dès lors que la finalité est de promouvoir ou de favoriser de manière directe ou indirecte la diffusion de produits ou de services ;</w:t>
      </w:r>
    </w:p>
    <w:p w:rsidR="00082A59" w:rsidRDefault="00082A59">
      <w:r>
        <w:t>- rédacteurs d'écrits à caractère scientifique, dont l'édition et/ou la diffusion est supportée de manière directe ou indirecte par des entreprises assurant des prestations, produisant ou commercialisant desproduits pris en charge par les régimes obligatoiresde sécurité sociale (exemple : brochures, fascicules, articles d'information médicale, publiés avec le concours de laboratoires pharmaceutiques ou agences de communication sponsorisées par ces mêmes laboratoires).</w:t>
      </w:r>
    </w:p>
    <w:p w:rsidR="00082A59" w:rsidRDefault="00082A59">
      <w:r>
        <w:t>Dans ces conditions, le versement à des médecins de droits d'auteur bénéficiant du régime fiscal et social spécifique lié à  l'affiliation aux AGESSA apparaît quasiment  impossible.</w:t>
      </w:r>
    </w:p>
    <w:p w:rsidR="00082A59" w:rsidRDefault="00082A59">
      <w:r>
        <w:t>Cependant, il convient de souligner qu'il s'agit ici d'une position limitée à l'affiliation des auteurs aux régimes de Sécurité Sociale qui leur est spécifique, et que ce point de vue des AGESSA ne saurait, en principe, porter atteinte aux règles générales applicables au droit d'auteur telles que prévues par le Code  de la Propriété Intellectuelle (originalité, modalités de cession ...).</w:t>
      </w:r>
    </w:p>
    <w:p w:rsidR="00082A59" w:rsidRDefault="00082A59">
      <w:r>
        <w:t>3) Divers</w:t>
      </w:r>
    </w:p>
    <w:p w:rsidR="00082A59" w:rsidRDefault="00082A59">
      <w:r>
        <w:t>1. Les remboursements de frais</w:t>
      </w:r>
    </w:p>
    <w:p w:rsidR="00082A59" w:rsidRDefault="00082A59">
      <w:r>
        <w:t>Des remboursements de frais ne peuvent être effectués qu'au franc le franc, sur présentation de justificatifs originaux. Les remboursements de frais sur une base forfaitaire ne sont pas possibles. Ils exposent leurs bénéficiaires à une requalification des sommes en revenus imposables.</w:t>
      </w:r>
    </w:p>
    <w:p w:rsidR="00082A59" w:rsidRDefault="00082A59">
      <w:r>
        <w:t>Ils doivent être déclarés dans la DAS 2 par  l'entreprise versante.</w:t>
      </w:r>
    </w:p>
    <w:p w:rsidR="00082A59" w:rsidRDefault="00082A59">
      <w:r>
        <w:t>2. Les remises de matériels</w:t>
      </w:r>
    </w:p>
    <w:p w:rsidR="00082A59" w:rsidRDefault="00082A59">
      <w:pPr>
        <w:rPr>
          <w:sz w:val="18"/>
          <w:szCs w:val="18"/>
        </w:rPr>
      </w:pPr>
      <w:r>
        <w:t>Il est en théorie possible pour une entreprise de prêter des matériels destinés à être utilisés dans le cadre de la mise en oeuvre d'une recherche..</w:t>
      </w:r>
    </w:p>
    <w:p w:rsidR="00082A59" w:rsidRDefault="00082A59"/>
    <w:p w:rsidR="00082A59" w:rsidRDefault="00082A59">
      <w:r>
        <w:t>Il convient de distinguer deux hypothèses : la recherche est réalisée dans un établissement hospitalier ou la recherche est réalisée en ville.</w:t>
      </w:r>
    </w:p>
    <w:p w:rsidR="00082A59" w:rsidRDefault="00082A59">
      <w:r>
        <w:t>a) La recherche est réalisée dans un établissement hospitalier</w:t>
      </w:r>
    </w:p>
    <w:p w:rsidR="00082A59" w:rsidRDefault="00082A59">
      <w:r>
        <w:t>Lorsque la recherche est réalisée à l'hôpital, la question de la remise de matériel pour la réalisation de l'essai doit être traitée avec la Direction de l'hôpital elle-même et non pas avec le médecin.</w:t>
      </w:r>
    </w:p>
    <w:p w:rsidR="00082A59" w:rsidRDefault="00082A59"/>
    <w:p w:rsidR="00082A59" w:rsidRDefault="00082A59">
      <w:r>
        <w:t>Deux modalités de remise sont possibles : le prêt ou le don.</w:t>
      </w:r>
    </w:p>
    <w:p w:rsidR="00082A59" w:rsidRDefault="00082A59">
      <w:r>
        <w:t>* Le prêt</w:t>
      </w:r>
    </w:p>
    <w:p w:rsidR="00082A59" w:rsidRDefault="00082A59">
      <w:r>
        <w:t>Dans un tel cas, il est prudent de formaliser un contrat de "prêt à usage" (article 1875 du Code Civil).</w:t>
      </w:r>
    </w:p>
    <w:p w:rsidR="00082A59" w:rsidRDefault="00082A59">
      <w:r>
        <w:t>Il faut également régler dans le contrat la question de la maintenance de ce matériel et préciser (pour des raisons de responsabilité) que le matériel est prêté exclusivement pour la réalisation de la recherche et ne doit en</w:t>
      </w:r>
    </w:p>
    <w:p w:rsidR="00082A59" w:rsidRDefault="00082A59">
      <w:r>
        <w:t>aucun cas être utilisé à d'autres fins.</w:t>
      </w:r>
    </w:p>
    <w:p w:rsidR="00082A59" w:rsidRDefault="00082A59">
      <w:r>
        <w:t>Le matériel prêté doit être en principe êtr restitué à la fin de la période de prêt.</w:t>
      </w:r>
    </w:p>
    <w:p w:rsidR="00082A59" w:rsidRDefault="00082A59">
      <w:r>
        <w:t>Si l'hôpital souhaite conserver le matériel à la fin de la période de prêt, il convient de transformer l'opération en don.</w:t>
      </w:r>
    </w:p>
    <w:p w:rsidR="00082A59" w:rsidRDefault="00082A59">
      <w:r>
        <w:t>Il convient de souligner que les hôpitaux peuvent être réticents à de telles remises, notamment pour des questions de responsabilité. Ainsi, dans une circulaire du Ministère des Affaires Sociales et de l'Emploi du 9 juillet 1986 relative aux règles à respecter pour le choix et les conditions d'achat de stimulateurs cardiaques dans les établissements hospitaliers (publiée au Journal Officiel du 28 août 1988 - 10481), il était relevé que :</w:t>
      </w:r>
    </w:p>
    <w:p w:rsidR="00082A59" w:rsidRDefault="00082A59">
      <w:r>
        <w:t>"Des mises à disposition de matériels et  équipements plus ou moins en rapport avec l'activité d'implantation ont été souvent constatées. Ces pratiques, bien qu'elles soient faites le plus souvent au profit des établissements, et qu'elles n'apportent aucun avantage personnel au médecin, sont cependant condamnables. En effet, elles permettent à des hôpitaux et à des cliniques de s'équiper d'un matériel qui n'a été ni choisi ni contrôlé, et qui va être à son tour une source de dépenses pour la Sécurité Sociale, alors même que le fabricant a inclus dans ses prix celui des matériels prêtés". C'est notamment la raison pour laquelle ces questions doivent être traitées en direct avec la Direction de l'hôpital.</w:t>
      </w:r>
    </w:p>
    <w:p w:rsidR="00082A59" w:rsidRDefault="00082A59">
      <w:r>
        <w:t>* Le don</w:t>
      </w:r>
    </w:p>
    <w:p w:rsidR="00082A59" w:rsidRDefault="00082A59">
      <w:r>
        <w:t>Il est possible également de faire don d'un matériel à l'hôpital pour la réalisation d'une recherche et afin que celui-ci puisse le conserver à la fin de la recherche.</w:t>
      </w:r>
    </w:p>
    <w:p w:rsidR="00082A59" w:rsidRDefault="00082A59">
      <w:r>
        <w:t>Dans un tel cas, il convient d'appliquer les procédures habituelles en matière de don à une personne morale et notamment d'obtenir la lettre d'engagement d'utilisation à des fins collectives.</w:t>
      </w:r>
    </w:p>
    <w:p w:rsidR="00082A59" w:rsidRDefault="00082A59">
      <w:r>
        <w:t>b) La recherche est réalisée "en ville"</w:t>
      </w:r>
    </w:p>
    <w:p w:rsidR="00082A59" w:rsidRDefault="00082A59">
      <w:r>
        <w:t>La nature juridique de la remise au médecin d'un matériel devra être parfaitement claire : S'il s'agit d'un prêt, afin qu'il n'y ait aucune ambiguïté sur la nature de la remise de matériel pour la réalisation d'une recherche, il convient de formaliser un contrat de "prêt à usage" prévoyant la restitution du matériel à l'issue de la recherche.</w:t>
      </w:r>
    </w:p>
    <w:p w:rsidR="00082A59" w:rsidRDefault="00082A59">
      <w:r>
        <w:t>Si le médecin souhaite conserver le matériel à la fin de la recherche, il s'agira pour le médecin d'une rémunération en nature (voir point 1), paragraphe 5 ci-dessus) et donc d'un avantage au sens de l'article L. 365-1 du Code</w:t>
      </w:r>
      <w:r>
        <w:rPr>
          <w:sz w:val="18"/>
          <w:szCs w:val="18"/>
        </w:rPr>
        <w:t xml:space="preserve"> </w:t>
      </w:r>
      <w:r>
        <w:t>de la Santé Publique devant être déclaré comme tel auprès de l'instance ordinale compétente.</w:t>
      </w:r>
    </w:p>
    <w:p w:rsidR="00082A59" w:rsidRDefault="00082A59">
      <w:r>
        <w:t>II - LES CONTRATS PASSÉS AVEC LES ASSOCIATIONS</w:t>
      </w:r>
    </w:p>
    <w:p w:rsidR="00082A59" w:rsidRDefault="00082A59">
      <w:r>
        <w:t>La décision prise par un certain nombre d'entreprises, dans l'attente de la décision du Conseil d'État, de limiter la pratique du dessaisissement d'honoraires, a conduit à une multiplication des demandes de signature de contrats avec des associations, le plus souvent à la requête des praticiens.</w:t>
      </w:r>
    </w:p>
    <w:p w:rsidR="00082A59" w:rsidRDefault="00082A59">
      <w:r>
        <w:t>Sur un plan général, il convient de souligner que de telles demandes ne peuvent être considérées comme une alternative systématique à la passation de contrats directs avec les médecins.</w:t>
      </w:r>
    </w:p>
    <w:p w:rsidR="00082A59" w:rsidRDefault="00082A59">
      <w:r>
        <w:t>A ce titre, du fait du contexte légal, notamment sur les plans pénal et fiscal, tant du côté de l'association que de l'entreprise, la signature de contrats de recherche avec des associations nécessite le respect d'un certain nombre de conditions de fond et de forme.</w:t>
      </w:r>
    </w:p>
    <w:p w:rsidR="00082A59" w:rsidRDefault="00082A59">
      <w:r>
        <w:t>En effet, il n'est pas possible de substituer purement et simplement sur un contrat le nom d'une association à celui d'un médecin.</w:t>
      </w:r>
    </w:p>
    <w:p w:rsidR="00082A59" w:rsidRDefault="00082A59">
      <w:r>
        <w:t>Pour qu'un contrat puisse être passé avec une association, il est indispensable que ce contrat fasse ressortir clairement la justification de la passation du contrat aveccette association, c'est-à-dire la réalité de la prestation rendue par l'association en tant que personne morale.</w:t>
      </w:r>
    </w:p>
    <w:p w:rsidR="00082A59" w:rsidRDefault="00082A59">
      <w:r>
        <w:t>Cette prestation peut résulter de l'apport intellectuel de l'association, de la mise à disposition de moyens humains ou matériels (dans les conditions et limites définies ci-dessous), de la contribution à l'organisation, à la réalisation ou à la gestion administrative d'une recherche etc...</w:t>
      </w:r>
    </w:p>
    <w:p w:rsidR="00082A59" w:rsidRDefault="00082A59">
      <w:r>
        <w:t>En outre, il sera indispensable de vérifier que la situation de l'association, si elle exerce ses activités en milieu hospitalier, est régulière et transparente au regard de la Direction de l'hôpital, notamment si elle utilise des moyens de l'hôpital.</w:t>
      </w:r>
    </w:p>
    <w:p w:rsidR="00082A59" w:rsidRDefault="00082A59">
      <w:r>
        <w:t>1. Conditions de fond de la signature de contrats avec les associations</w:t>
      </w:r>
    </w:p>
    <w:p w:rsidR="00082A59" w:rsidRDefault="00082A59">
      <w:r>
        <w:t>a) Les statuts et l'objet de l'association</w:t>
      </w:r>
    </w:p>
    <w:p w:rsidR="00082A59" w:rsidRDefault="00082A59">
      <w:r>
        <w:t>Il est indispensable que l'association prévoit dans son objet la réalisation de telles activités, faute de quoi elle ne pourrait pas légalement facturer la prestation réalisée.</w:t>
      </w:r>
    </w:p>
    <w:p w:rsidR="00082A59" w:rsidRDefault="00082A59"/>
    <w:p w:rsidR="00082A59" w:rsidRDefault="00082A59">
      <w:r>
        <w:t>Il faut bien évidemment qu'il s'agisse d'activités de recherche.</w:t>
      </w:r>
    </w:p>
    <w:p w:rsidR="00082A59" w:rsidRDefault="00082A59">
      <w:r>
        <w:t>Il convient de souligner qu'en aucun cas une association ne peut avoir pour objet la gestion financière de ses membres, ce qui pourrait être assimilé à une activité bancaire illégale contraire à la loi n° 84-46 du 24 janvier 1984 instaurant un monopole au profit des établissements de crédit (soumis à une procédure spéciale d'agrément).</w:t>
      </w:r>
    </w:p>
    <w:p w:rsidR="00082A59" w:rsidRDefault="00082A59">
      <w:r>
        <w:t>Il n'est donc pas possible de conclure, au titre de la recherche, des contrats avec des associations qui n'auraient pas d'autre objet que de la gestion financière (encaissement de fonds, reversements divers etc...).</w:t>
      </w:r>
    </w:p>
    <w:p w:rsidR="00082A59" w:rsidRDefault="00082A59">
      <w:r>
        <w:t>Les statuts doivent également préciser, dans l'article relatif aux ressources autorisées, la possibilité de percevoir des rémunérations liées à la réalisation de prestations de services par l'association.</w:t>
      </w:r>
    </w:p>
    <w:p w:rsidR="00082A59" w:rsidRDefault="00082A59">
      <w:r>
        <w:t>A noter que l'ensemble des activités et des actes des associations sont réalisés sous la responsabilité de leur Président.</w:t>
      </w:r>
    </w:p>
    <w:p w:rsidR="00082A59" w:rsidRDefault="00082A59">
      <w:pPr>
        <w:rPr>
          <w:sz w:val="18"/>
          <w:szCs w:val="18"/>
        </w:rPr>
      </w:pPr>
      <w:r>
        <w:t>b) La réalité de la prestation de l'association</w:t>
      </w:r>
    </w:p>
    <w:p w:rsidR="00082A59" w:rsidRDefault="00082A59">
      <w:r>
        <w:t>Il est possible, pour la réalisation d'une recherche, de signer un contrat avec une association qui, elle-même, va confier à un ou plusieurs médecins, voire d'autres personnes qualifiées, l'exécution de la prestation faisant l'objet du contrat.</w:t>
      </w:r>
    </w:p>
    <w:p w:rsidR="00082A59" w:rsidRDefault="00082A59">
      <w:r>
        <w:t>Plusieurs éléments contribuent à la réalité de la prestation de l'association : il s'agit essentiellement de son apport intellectuel et de la mise à disposition de moyens humains et matériels.</w:t>
      </w:r>
    </w:p>
    <w:p w:rsidR="00082A59" w:rsidRDefault="00082A59">
      <w:r>
        <w:t>* La prestation intellectuelle de l'association</w:t>
      </w:r>
    </w:p>
    <w:p w:rsidR="00082A59" w:rsidRDefault="00082A59">
      <w:r>
        <w:t>La prestation de l'association peut être constituée par l'apport "intellectuel" de l'association : en effet, celle-ci constitue un pôle de compétences et d'expertise regroupant des médecins dans certains domaines thérapeutiques.</w:t>
      </w:r>
    </w:p>
    <w:p w:rsidR="00082A59" w:rsidRDefault="00082A59">
      <w:r>
        <w:t>Le fait de contracter avec une association offre donc la possibilité, pour un promoteur de recherche, de bénéficier d'un réseau de compétences et d'expertise dont dispose l'association.</w:t>
      </w:r>
    </w:p>
    <w:p w:rsidR="00082A59" w:rsidRDefault="00082A59">
      <w:r>
        <w:t>Il conviendra de formaliser dans le contrat et par exemple dans le préambule, cet apport intellectuel de l'association.</w:t>
      </w:r>
    </w:p>
    <w:p w:rsidR="00082A59" w:rsidRDefault="00082A59">
      <w:r>
        <w:t>* Les moyens humains</w:t>
      </w:r>
    </w:p>
    <w:p w:rsidR="00082A59" w:rsidRDefault="00082A59">
      <w:r>
        <w:t>L'association doit également disposer de moyens humains pour réaliser la prestation : les médecins délégués par l'association en vue de l'exécution des contrats de recherche, du personnel administratif, des experts etc...</w:t>
      </w:r>
    </w:p>
    <w:p w:rsidR="00082A59" w:rsidRDefault="00082A59">
      <w:r>
        <w:t>La question se pose donc de savoir quel doit être le statut de ces personnes vis-à-vis de l'association et les modalités de leur éventuelle rémunération.</w:t>
      </w:r>
    </w:p>
    <w:p w:rsidR="00082A59" w:rsidRDefault="00082A59">
      <w:r>
        <w:t>En ce qui concerne les médecins appelés à concourir à l'exécution des contrats de recherche signés avec des associations, le principe doit être pour eux le bénévolat.</w:t>
      </w:r>
    </w:p>
    <w:p w:rsidR="00082A59" w:rsidRDefault="00082A59">
      <w:r>
        <w:t>En effet, si les médecins intervenant de manière indépendante (non salariés de l'association) souhaitent être rémunérés pour ces prestations (sous forme d'honoraires), il convient d'opter pour la forme du contrat direct avec le médecin plus adapté à ce type de situation.</w:t>
      </w:r>
    </w:p>
    <w:p w:rsidR="00082A59" w:rsidRDefault="00082A59">
      <w:r>
        <w:t>La jurisprudence admet à ce titre que des membres bénévoles puissent contribuer à une prestation réalisée à titre onéreux pour le compte d'une association : il est indispensable dans un tel cas que :</w:t>
      </w:r>
    </w:p>
    <w:p w:rsidR="00082A59" w:rsidRDefault="00082A59">
      <w:r>
        <w:t>- La personne effectuant le travail soit membre de l'association (ce qui exclut le recours à des tiers) ;</w:t>
      </w:r>
    </w:p>
    <w:p w:rsidR="00082A59" w:rsidRDefault="00082A59">
      <w:r>
        <w:t>- La personne soit complètement bénévole, ce qui signifie qu'elle ne doit percevoir aucune rémunération directe ou indirecte pour la réalisation de la prestation concernée et qu'elle l'atteste par écrit.</w:t>
      </w:r>
    </w:p>
    <w:p w:rsidR="00082A59" w:rsidRDefault="00082A59">
      <w:r>
        <w:t>En dehors du cas des médecins bénévoles, l'association peut néanmoins avoir recours à des ressources internes pour réaliser la prestation : il s'agit donc dans ce cas de ses salariés (médecins, statisticiens, personnels administratifs, para-médicaux etc...). Cette hypothèse ne soulève pas de remarques particulières, sous réserve du statut des praticiens hospitaliers et bien entendu sous réserve que l'association applique le droit du travail.</w:t>
      </w:r>
    </w:p>
    <w:p w:rsidR="00082A59" w:rsidRDefault="00082A59">
      <w:r>
        <w:t>Remarque 1 : Les dirigeants d'association peuvent être rémunérés par l'association à partir du moment où ces rémunérations correspondent à des fonctions réelles et distinctes de celles qu'ils assument au titre de la gestion de l'association. Attention cependant : le versement de telles rémunérations est souvent considéré par la jurisprudence comme incompatible avec le caractère désintéressé de l'association et peut donc entraîner sa fiscalisation et notamment sa soumission à l'impôt sur les sociétés. Il convient cependant de noter que l'administration fiscale, dans son instruction fiscale en date 15 septembre 1998, admet que :" le caractère désintéressé de la gestion de l'association ne soit pas remis en cause si la rémunération brute mensuelle totale versées aux dirigeants de droit ou de fait n'excède pas les trois-quarts du SMIC". Toutefois, la portée de cette remarque apparaîtlimitée en ce qui concerne les associations réalisant des recherches : en effet, celles-ci doivent par définition être fiscalisées, puisqu'elles réalisent pour le compte de laboratoires des prestations de services payantes dans des conditions similaires à celles réalisées par le secteur concurrentiel (sociétés de services notamment).</w:t>
      </w:r>
    </w:p>
    <w:p w:rsidR="00082A59" w:rsidRDefault="00082A59">
      <w:r>
        <w:t>Remarque 2 : Il convient de souligner qu'il n'est pas possible de rémunérer une prestation fournie par une association sous forme de subvention. La subvention ne doit, en effet, avoir aucune contrepartie directe. A partir du moment où le versement à l'association s'inscrit dans le cadre d'une prestation de services réalisée par celle-ci et/ou un de ses membres, il ne peut en aucun cas s'agir d'une subvention ou d'un don.</w:t>
      </w:r>
    </w:p>
    <w:p w:rsidR="00082A59" w:rsidRDefault="00082A59">
      <w:r>
        <w:t>* Les moyens matériels</w:t>
      </w:r>
    </w:p>
    <w:p w:rsidR="00082A59" w:rsidRDefault="00082A59">
      <w:r>
        <w:t>L'association peut également fournir des moyens matériels de réalisation de la prestation qui lui est confiée. Il peut s'agir de moyens matériels appartenant en propre à l'association.</w:t>
      </w:r>
    </w:p>
    <w:p w:rsidR="00082A59" w:rsidRDefault="00082A59">
      <w:r>
        <w:t>Lorsque les recherches ont lieu au sein de l'hôpital, les moyens matériels seront le plus souvent ceux de l'hôpital. Dans ce cas, les frais occasionnés par la recherche et liés à l'utilisation de ces moyens doivent faire l'objet d'une convention entre la Direction de l'hôpital et le promoteur (article R. 2038 du Code de la santé Publique).</w:t>
      </w:r>
    </w:p>
    <w:p w:rsidR="00082A59" w:rsidRDefault="00082A59">
      <w:r>
        <w:t>Il est cependant indispensable que l'association fonctionne en toute transparence vis-à-vis de la Direction de l'hôpital. Pour cela, il convient de demander à l'association, soit un document de la Direction de l'hôpital l'autorisant à y conduire ses activités, ou à tout le moins une autorisation de domiciliation de l'association dans les locaux de l'hôpital.</w:t>
      </w:r>
    </w:p>
    <w:p w:rsidR="00082A59" w:rsidRDefault="00082A59">
      <w:r>
        <w:t>Il peut être également utile de mettre en place une information spécifique de la Direction de l'hôpital par l'entreprise, qui permettrait à cette dernière de s'assurer que la Direction de l'hôpital connaît l'association.</w:t>
      </w:r>
    </w:p>
    <w:p w:rsidR="00082A59" w:rsidRDefault="00082A59">
      <w:r>
        <w:t>Il est donc commandé d'inclure, dans le cas des recherches biomédicales, dans la lettre d'information du Directeur de l'hôpital en application de l'article R.5124, des précisions sur le fait que la recherche est réalisée dans le cadre d'une association et qu'un contrat a été signé avec une association. Pour les autres catégories de recherches, il conviendrait simplement que l'entreprise informe la Direction de l'Hôpital qu'un contrat a été conclu avec une association. Dans un cas comme dans l'autre, la Direction de l'Hôpital évaluera au cas par cas la nécessité de demander où non de plus amples informations au Président de cette association.</w:t>
      </w:r>
    </w:p>
    <w:p w:rsidR="00082A59" w:rsidRDefault="00082A59">
      <w:r>
        <w:t>En outre, il convient de souligner que les associations devraient souscrire une assurance couvrant leur responsabilité civile professionnelle, c'est-à-dire les dommages qu'elles seraient amenées à causer du fait de leur activité professionnelle.</w:t>
      </w:r>
    </w:p>
    <w:p w:rsidR="00082A59" w:rsidRDefault="00082A59">
      <w:r>
        <w:t>En effet, l'activité des associations est susceptible d'engendrer des dommages, notamment vis-à-vis de l'hôpital (incendies, par exemple), du laboratoire ou même des patients (dans des cas qui ne seraient pas couverts par l'assurance du Promoteur au titre de la loi de 1988), et il est donc nécessaire que leur responsabilité civile soit couverte par une assurance. Des produits d'assurance des associations sont disponibles sur le marché et les responsables d'association peuvent prendre contact avec leur courtier habituel qui leur donnera les informations nécessaires.</w:t>
      </w:r>
    </w:p>
    <w:p w:rsidR="00082A59" w:rsidRDefault="00082A59">
      <w:r>
        <w:t>Par ailleurs, dans un tel cadre, l'investigateur délégué par l'association pour la réalisation de la prestation faisant l'objet du contrat est en principe couvert par l'assurance de l'association. Il cependant conseillé aux investigateurs de vérifier que le contrat d'assurance de l'association les couvre bien dans ce cadre.</w:t>
      </w:r>
    </w:p>
    <w:p w:rsidR="00082A59" w:rsidRDefault="00082A59">
      <w:r>
        <w:t>c) La forme du contrat</w:t>
      </w:r>
    </w:p>
    <w:p w:rsidR="00082A59" w:rsidRDefault="00082A59">
      <w:r>
        <w:t>Il convient d'abord, lorsqu'un contrat est signé avec une association, qu'il distingue clairement les droits et les obligations de l'association personne morale et ceux incombant au laboratoire commanditaire de la prestation.</w:t>
      </w:r>
    </w:p>
    <w:p w:rsidR="00082A59" w:rsidRDefault="00082A59">
      <w:r>
        <w:t>La forme de ces contrats sera assez proche de celle des contrats passés avec les sociétés de services réalisant des recherches pour le compte de laboratoires pharmaceutiques.</w:t>
      </w:r>
    </w:p>
    <w:p w:rsidR="00082A59" w:rsidRDefault="00082A59">
      <w:r>
        <w:t>En sus de ces obligations, un certain nombre d'obligations spécifiques apparaissent dans le contrat lorsqu'il a pour objet la réalisation d'une recherche biomédicale soumise à la loi "Huriet-Sérusclat" du 20 décembre 1988. En effet, l'article L. 209-1 du Code de la Santé Publique (issu de cette loi) indique clairement que l'investigateur est obligatoirement une personne physique. Les obligations incombant à l'investigateur au regard du Code de la</w:t>
      </w:r>
    </w:p>
    <w:p w:rsidR="00082A59" w:rsidRDefault="00082A59">
      <w:r>
        <w:t>Santé Publique ne peuvent être mises qu'à la charge d'une personne physique.</w:t>
      </w:r>
    </w:p>
    <w:p w:rsidR="00082A59" w:rsidRDefault="00082A59">
      <w:r>
        <w:t>Ceci signifie donc qu'en cas de recherche biomédicale, les contrats passés avec une association devront toujours désigner nominativement le ou les médecins investigateurs qui assumeront les responsabilités et obligations résultant de cette qualité en application de la loi de 1988. Ces responsabilités et obligations devront apparaître de manière distincte, dans le contrat, de celles de l'association.</w:t>
      </w:r>
    </w:p>
    <w:p w:rsidR="00082A59" w:rsidRDefault="00082A59">
      <w:r>
        <w:t>Le contrat passé avec l'association devra donc d'abord désigner nominativement le médecin investigateur qui assumera les responsabilités et obligations qui lui sont propres en application de la loi de 1988.</w:t>
      </w:r>
    </w:p>
    <w:p w:rsidR="00082A59" w:rsidRDefault="00082A59">
      <w:r>
        <w:t>Le contrat sera formellement passé entre l'association et le promoteur, mais en présence du médecin, qui en sera signataire pour les droits et obligations qui le concernent directement au titre de la loi.</w:t>
      </w:r>
    </w:p>
    <w:p w:rsidR="00082A59" w:rsidRDefault="00082A59">
      <w:r>
        <w:t>Si l'association sera garante de la bonne exécution des prestations y compris celles confiées spécifiquement au(x) médecin(s), il n'en demeure pas moins que le contrat doit distinguer le rôle respectif des signataires.</w:t>
      </w:r>
    </w:p>
    <w:p w:rsidR="00082A59" w:rsidRDefault="00082A59">
      <w:r>
        <w:t>En ce sens, il parait opportun que le signataire du contrat en tant que représentant légal de l'association ne soit pas la même personne que le médecin signataire au titre de la prestation d'investigateur.</w:t>
      </w:r>
    </w:p>
    <w:p w:rsidR="00082A59" w:rsidRDefault="00082A59">
      <w:r>
        <w:t>Enfin, et à titre incident, en cas de recherche sans bénéfice individuel direct, il convient de souligner que le titulaire de l'agrément du centre de phase I doit également signer le contrat. En effet, le titulaire de l'agrément doit autoriser la réalisation de la recherche dans le lieu qui est sous sa responsabilité.</w:t>
      </w:r>
    </w:p>
    <w:p w:rsidR="00082A59" w:rsidRDefault="00082A59">
      <w:r>
        <w:t>d) Les obligations fiscales et sociales de l'association</w:t>
      </w:r>
    </w:p>
    <w:p w:rsidR="00082A59" w:rsidRDefault="00082A59"/>
    <w:p w:rsidR="00082A59" w:rsidRDefault="00082A59"/>
    <w:p w:rsidR="00082A59" w:rsidRDefault="00082A59">
      <w:r>
        <w:t>L'association devra faire son affaire, d'une manière générale, de l'ensemble des</w:t>
      </w:r>
      <w:r>
        <w:rPr>
          <w:sz w:val="18"/>
          <w:szCs w:val="18"/>
        </w:rPr>
        <w:t xml:space="preserve"> </w:t>
      </w:r>
      <w:r>
        <w:t>20 obligations sociales, fiscales et comptables liées à ses activités.</w:t>
      </w:r>
    </w:p>
    <w:p w:rsidR="00082A59" w:rsidRDefault="00082A59">
      <w:r>
        <w:t>En effet, même si elle s'effectue dans un cadre associatif, la réalisation de prestations de services à titre onéreux doit conduire à s'interroger sur leur éventuel assujettissement aux impôts commerciaux.</w:t>
      </w:r>
    </w:p>
    <w:p w:rsidR="00082A59" w:rsidRDefault="00082A59">
      <w:r>
        <w:t>L'abondance de la jurisprudence et son évolution au cours des dernières années témoignent de la complexité du problème et du rôle grandissant du secteur associatif.</w:t>
      </w:r>
    </w:p>
    <w:p w:rsidR="00082A59" w:rsidRDefault="00082A59">
      <w:r>
        <w:t>Faisant suite à la remise par M. G. GOULARD au Premier Ministre d'un rapport sur le régime fiscal des organismes sans but lucratif, une instruction fiscale du 15 septembre 1998 est venue clarifier la situation.</w:t>
      </w:r>
    </w:p>
    <w:p w:rsidR="00082A59" w:rsidRDefault="00082A59">
      <w:r>
        <w:t>Ce texte reprend de façon explicite les critères établis par la jurisprudence en précisant l'ordre hiérarchique dans lequel ces indices (gestion désintéressée, utilité sociale, prix et publicité) doivent être examinés afin de déterminer le régime fiscal d'une association. En ce qui concerne plus particulièrement les associations de recherche avec lesquelles les entreprises pharmaceutiques peuvent être amenées à contracter, cette instruction, si elle n'apporte pas d'élément nouveau, vient clairement rappeler les exigences fiscales auxquelles elles sont tenues de se conformer.</w:t>
      </w:r>
    </w:p>
    <w:p w:rsidR="00082A59" w:rsidRDefault="00082A59">
      <w:r>
        <w:t>En effet, la réalisation de prestations de recherche à titre onéreux place ces associations dans le secteur concurrentiel et les rend dans la quasi totalité des cas imposables aux impôts commerciaux de la même façon que les entreprises commerciales, à savoir :</w:t>
      </w:r>
    </w:p>
    <w:p w:rsidR="00082A59" w:rsidRDefault="00082A59">
      <w:r>
        <w:t>- La TVA : celle-ci est exigible car l'association rend une prestation de service au même titre qu'une société commerciale. Le taux est de 20,6 %. Elle doit être mentionnée sur la facture. Elle est exigible au moment de l'encaissement du prix, des acomptes ou de la rémunération.</w:t>
      </w:r>
    </w:p>
    <w:p w:rsidR="00082A59" w:rsidRDefault="00082A59">
      <w:r>
        <w:t>À noter que l'exonération de TVA prévue à l'article 261.4.1° du CGI applicable aux travaux d'expérimentation réalisés par un médecin (personne physique), à l'occasion de soins prodigués aux malades en milieu hospitalier ou à titre libéral n'est pas remplie, l'association rendant la prestation étant une personne morale.</w:t>
      </w:r>
    </w:p>
    <w:p w:rsidR="00082A59" w:rsidRDefault="00082A59">
      <w:r>
        <w:t>- L'Impôt sur les Sociétés (IS) : selon l'article 206-1 du CGI, l'impôt sur les sociétés est exigible outre des sociétés commerciales, de "toutes autres personnes morales se livrant à une exploitation ou à des opérations de caractère lucratif" à partir du moment où leur résultat fiscal à la clôture de l'exercice fait apparaître un bénéfice.</w:t>
      </w:r>
    </w:p>
    <w:p w:rsidR="00082A59" w:rsidRDefault="00082A59">
      <w:r>
        <w:t>Dans ce cas, l'association acquitte l'IS dans les conditions de droit commun (IS au taux de 33 1/3 %, plus une contribution de 10 % sur l'impôt sur les sociétés exigible).</w:t>
      </w:r>
    </w:p>
    <w:p w:rsidR="00082A59" w:rsidRDefault="00082A59">
      <w:r>
        <w:t>- L'Impôt Forfaitaire Annuel (IFA) : L'IFA est exigible de toutes les personnes morales soumises à l'IS dans les conditions de droit commun. C'est un impôt forfaitaire calculé en fonction du chiffre d'affaires réalisé selon un barème prédéterminé. Cet impôt est exigible annuellement de toutes les sociétés assujetties à l'IS, même si elles n'ont pas réalisé de bénéfices et donc n'ont pas payé d'IS lors de l'exercice considéré.</w:t>
      </w:r>
    </w:p>
    <w:p w:rsidR="00082A59" w:rsidRDefault="00082A59">
      <w:r>
        <w:t>Cependant, si la personne morale réalise un bénéfice imposé, l'IFA s'impute sur le bénéfice de l'année en cours ou des deux années suivantes. Si elle n'en réalise pas (ou pas assez) dans ce délai, l'IFA constitue une charge définitive pour l'association.</w:t>
      </w:r>
    </w:p>
    <w:p w:rsidR="00082A59" w:rsidRDefault="00082A59">
      <w:r>
        <w:t>- La taxe professionnelle : l'article 1447 du CGI prévoit que la taxe professionnelle est due notamment par les personnes morales qui exercent à titre habituel une activité professionnelle non salariée. Tel est le cas d'une association dont l'activité habituelle est de rendre des prestations de services en matière de recherche aux conditions du marché.</w:t>
      </w:r>
    </w:p>
    <w:p w:rsidR="00082A59" w:rsidRDefault="00082A59">
      <w:r>
        <w:t>Il en résulte, dans ce cas, que l'association est soumise à la taxe professionnelle dans les conditions de droit commun, à raison :</w:t>
      </w:r>
    </w:p>
    <w:p w:rsidR="00082A59" w:rsidRDefault="00082A59">
      <w:r>
        <w:t>- de la valeur locative des immobilisations corporelles qu'elle utilise pour les besoins de son activité assujettie ;</w:t>
      </w:r>
    </w:p>
    <w:p w:rsidR="00082A59" w:rsidRDefault="00082A59">
      <w:r>
        <w:t>- 18 % des salaires versés au personnel affecté à cette même activité.</w:t>
      </w:r>
    </w:p>
    <w:p w:rsidR="00082A59" w:rsidRDefault="00082A59">
      <w:r>
        <w:t>Il convient, enfin, de noter qu'en marge de cette instruction, l'administration a indiqué dans des communiqués de presse qu'elle accorderait un délai aux associations pour se mettre en conformité avec le texte de l'instruction, qui expire le 31 mars 1999. Elle a en outre indiqué qu'elle abandonnerait les redressements en cours fondés sur le caractère non lucratif des associations pour les impositions qui ne sont pas devenues définitives. Ceci signifie que les associations de bonne foi ne seront pas redressées sur leurs activités lucratives pour la période antérieure au 1er avril 1999.</w:t>
      </w:r>
    </w:p>
    <w:p w:rsidR="00082A59" w:rsidRDefault="00082A59">
      <w:r>
        <w:t>Dans des déclarations récentes, le Premier Ministre a annoncé un certain nombre de mesures relatives aux associations.</w:t>
      </w:r>
    </w:p>
    <w:p w:rsidR="00082A59" w:rsidRDefault="00082A59">
      <w:r>
        <w:t>Il a notamment annoncé le report de la date du 31 mars mentionnée ci-dessus au 1</w:t>
      </w:r>
      <w:r>
        <w:rPr>
          <w:vertAlign w:val="superscript"/>
        </w:rPr>
        <w:t>er</w:t>
      </w:r>
      <w:r>
        <w:t xml:space="preserve"> janvier 2000. Les associations disposent donc de neuf mois supplémentaires pour se mettre en conformité avec les dispositions de cette instruction du 15 septembre qui vient par ailleurs d'être complétée par une nouvelle instruction du 16 février 1999. Cette dernière apporte, notamment, des précisions quant aux modalités de sectorisation ou de filialisation d'une activité lucrative.</w:t>
      </w:r>
    </w:p>
    <w:p w:rsidR="00082A59" w:rsidRDefault="00082A59"/>
    <w:p w:rsidR="00082A59" w:rsidRDefault="00082A59"/>
    <w:p w:rsidR="00082A59" w:rsidRDefault="00082A59">
      <w:r>
        <w:t>Par ailleurs, il a été indiqué que le Gouvernement pourrait proposer, dans le cadre du projet de loi de finances pour l'année 2000, une disposition exonérant d'impôts les associations qui outre leur activité principale non lucrative, ont une petite activité commerciale accessoire, en deçà de 250.000 F.</w:t>
      </w:r>
    </w:p>
    <w:p w:rsidR="00082A59" w:rsidRDefault="00082A59">
      <w:r>
        <w:t>Une telle exonération devrait être adoptée dans le cadre de la prochaine loi de finances.</w:t>
      </w:r>
    </w:p>
    <w:p w:rsidR="00082A59" w:rsidRDefault="00082A59">
      <w:r>
        <w:t>Si ces dispositions sont effectivement adoptées au début de l'année prochaine, le présent document sera bien entendu remis à jour pour en tenir compte.</w:t>
      </w:r>
    </w:p>
    <w:p w:rsidR="00082A59" w:rsidRDefault="00082A59">
      <w:r>
        <w:t>Sur un plan social, le droit du travail met à la charge du signataire d'un contrat de plus de 20.000 F, des obligations de vérification de la situation du cocontractant. Ces obligations, lorsque le contrat est passé avec une association, sont "symétriques" à celles existant en cas de contrat passé avec une personne physique (voir ci-dessus le chapitre 1 consacré aux contrats directs passés avec les médecins) : l'association doit signer une attestation précisant qu'elle est en règle avec les obligations qui résultent pour elle de l'application du Code du Travail, et doit produire un des documents précisés par ce même Code. Un modèle d'attestation adapté aux associations est joint en annexe du présent document.</w:t>
      </w:r>
    </w:p>
    <w:p w:rsidR="00082A59" w:rsidRDefault="00082A59">
      <w:r>
        <w:t>Le contrat passé entre l'association et l'entreprise devra en conséquence faire apparaître clairement que l'association fait son affaire de toutes les obligations fiscales, sociales et comptables qui lui incombent.</w:t>
      </w:r>
    </w:p>
    <w:p w:rsidR="00082A59" w:rsidRDefault="00082A59">
      <w:r>
        <w:t>2. Exigences de forme</w:t>
      </w:r>
    </w:p>
    <w:p w:rsidR="00082A59" w:rsidRDefault="00082A59">
      <w:r>
        <w:t>Pour s'assurer que l'ensemble des conditions mentionnées ci-dessus sont bien remplies, il</w:t>
      </w:r>
      <w:r>
        <w:rPr>
          <w:sz w:val="18"/>
          <w:szCs w:val="18"/>
        </w:rPr>
        <w:t xml:space="preserve">  </w:t>
      </w:r>
      <w:r>
        <w:t>est dès lors nécessaire pour l'entreprise de demander à l'association la production de  certains documents ou informations :</w:t>
      </w:r>
    </w:p>
    <w:p w:rsidR="00082A59" w:rsidRDefault="00082A59">
      <w:r>
        <w:t>* Copie des statuts</w:t>
      </w:r>
    </w:p>
    <w:p w:rsidR="00082A59" w:rsidRDefault="00082A59">
      <w:r>
        <w:t>Ce document est destiné à s'assurer :</w:t>
      </w:r>
    </w:p>
    <w:p w:rsidR="00082A59" w:rsidRDefault="00082A59">
      <w:r>
        <w:t>- que la prestation envisagée entre effectivement dans l'objet de l'association ; en effet, si tel n'est pas le cas, l'association ne peut pas rendre la prestation donc ne peut pas non plus la facturer ;</w:t>
      </w:r>
    </w:p>
    <w:p w:rsidR="00082A59" w:rsidRDefault="00082A59">
      <w:r>
        <w:t>- quelles sont les ressources autorisées de l'association ; les statuts doivent notamment mentionner, au titre des ressources autorisées, les rémunérations de prestations de services ;</w:t>
      </w:r>
    </w:p>
    <w:p w:rsidR="00082A59" w:rsidRDefault="00082A59">
      <w:r>
        <w:t>- quels sont les moyens de l'association, qu'il s'agisse de moyens humains (salariés de l'association ou membres bénévoles) ou matériels ;</w:t>
      </w:r>
    </w:p>
    <w:p w:rsidR="00082A59" w:rsidRDefault="00082A59">
      <w:r>
        <w:t>*Copie de l'insertion au Journal Officiel de la déclaration de l'association : cette attestation constitue la preuve que l'association a la personnalité morale et donc a une existence légale.</w:t>
      </w:r>
    </w:p>
    <w:p w:rsidR="00082A59" w:rsidRDefault="00082A59">
      <w:r>
        <w:t>*Relevé d'identité bancaire : ce document atteste de l'existence d'un compte bancaire ouvert dans des conditions régulières au nom de la personne morale.</w:t>
      </w:r>
    </w:p>
    <w:p w:rsidR="00082A59" w:rsidRDefault="00082A59">
      <w:r>
        <w:t>*Document attestant de l'accord de la Direction de l'hôpital ou à tout le moins de la transparence de l'activité de l'association vis-à- vis de la Direction de l'hôpital à l'exercice par l'association d'activités au sein de l'établissement.</w:t>
      </w:r>
    </w:p>
    <w:p w:rsidR="00082A59" w:rsidRDefault="00082A59">
      <w:r>
        <w:t>Il peut s'agir, par exemple, d'une lettre d'autorisation du Directeur de l'établissement, de l'apposition du visa de la Direction sur le contrat ou de la production d'une convention de valorisation.</w:t>
      </w:r>
    </w:p>
    <w:p w:rsidR="00082A59" w:rsidRDefault="00082A59">
      <w:r>
        <w:t>Il peut s'agir aussi, selon les cas, d'une autorisation de domiciliation de l'association dans les locaux de l'hôpital.</w:t>
      </w:r>
    </w:p>
    <w:p w:rsidR="00082A59" w:rsidRDefault="00082A59">
      <w:r>
        <w:t>A défaut, il convient pour le laboratoire de bien veiller à informer le Directeur de l'hôpital, comme préconisé plus haut, en complétant l’ information qui lui est donnée en application de l'article R.5124 du CSP, du fait que la recherche est réalisée dans le cadre d'une association, afin qu’ il puisse le cas échéant demander des précisions au Président de l’ association.</w:t>
      </w:r>
    </w:p>
    <w:p w:rsidR="00082A59" w:rsidRDefault="00082A59">
      <w:r>
        <w:t>*Attestation dans le cadre du respect du Code du Travail (loi sur le travail dissimulé) : si la contrepartie de la prestation excède 20.000 F, l'entreprise doit demander une attestation de fourniture de déclarations sociales émanant de l'organisme de protection sociale chargé du recouvrement des cotisations sociales incombant à l'association et datant de moins d'un an, ou un avis d'imposition afférent à la taxe professionnelle de l'exercice précédent (voir modèle d'attestation en annexe).</w:t>
      </w:r>
    </w:p>
    <w:p w:rsidR="00082A59" w:rsidRDefault="00082A59">
      <w:r>
        <w:t>* Le cas échéant, document attestant de la délivrance d'un agrément du Ministère de la Recherche dans le cadre du crédit d'impôt recherche : une telle attestation est indispensable pour permettre à l'entreprise de prendre en compte les dépenses correspondantes dans l'assiette du crédit d'impôt recherche. Un tel agrément, qui revêt d'une certaine manière le caractère de "label", est délivré après examen d'un dossier présenté par l'association, lorsque celle-ci est considérée comme ayant les capacités de mener des travaux de recherche de manière satisfaisante.</w:t>
      </w:r>
    </w:p>
    <w:p w:rsidR="00082A59" w:rsidRDefault="00082A59">
      <w:r>
        <w:t>* Attestation de bénévolat : cette attestation est nécessaire afin de s'assurer que les médecins membres de l'association et réalisant la prestation le font réellement à titre bénévole.</w:t>
      </w:r>
    </w:p>
    <w:p w:rsidR="00082A59" w:rsidRDefault="00082A59">
      <w:r>
        <w:t xml:space="preserve">* Délivrance d'une facture : la prestation réalisée par l'association doit faire l'objet d'une facturation. Cette facture doit comporter les mentions légales, sous peine de sanctions pénales et de rejet de la déductibilité des sommes correspondantes. </w:t>
      </w:r>
    </w:p>
    <w:p w:rsidR="00082A59" w:rsidRDefault="00082A59"/>
    <w:p w:rsidR="00082A59" w:rsidRDefault="00082A59">
      <w:r>
        <w:t>S'agissant d'une prestation réalisée par une personne morale, la TVA doit apparaître sur la facture (sauf bien sûr si les conditions de la franchise sont réunies). En effet, dans un tel cas, une des conditions de l'exonération de la TVA des travaux d'expérimentation prévue à l'article 261.4.1er du CGI, qui est liée à la réalisation de ces activités par un médecin personne physique à l'occasion des soins donnés aux malades en milieu hospitalier ou à</w:t>
      </w:r>
    </w:p>
    <w:p w:rsidR="00082A59" w:rsidRDefault="00082A59">
      <w:r>
        <w:t>titre libéral, n'est pas remplie.</w:t>
      </w:r>
    </w:p>
    <w:p w:rsidR="00082A59" w:rsidRDefault="00082A59"/>
    <w:p w:rsidR="00082A59" w:rsidRDefault="00082A59">
      <w:r>
        <w:t>CONCLUSION</w:t>
      </w:r>
    </w:p>
    <w:p w:rsidR="00082A59" w:rsidRDefault="00082A59">
      <w:r>
        <w:t>Lorsqu'un contrat est passé avec une association, il convient de veiller à ce que l'association dispose des moyens nécessaires à la réalisation effective de cette prestation.</w:t>
      </w:r>
    </w:p>
    <w:p w:rsidR="00082A59" w:rsidRDefault="00082A59">
      <w:r>
        <w:t>Dans le cadre de ce type de contrats, le bénévolat des médecins (non salariés) concourant à la réalisation de cette prestation  doit être la règle, faute de quoi un contrat direct devra être passé avec chaque médecin.</w:t>
      </w:r>
    </w:p>
    <w:p w:rsidR="00082A59" w:rsidRDefault="00082A59">
      <w:r>
        <w:t>Dès lors qu'il s'agit d'une recherche biomédicale, les droits et obligations du médecin investigateur doivent apparaître de manière distincte dans le contrat et celui-ci doit être signataire du contrat pour les obligations qui lui sont propres.</w:t>
      </w:r>
    </w:p>
    <w:p w:rsidR="00082A59" w:rsidRDefault="00082A59">
      <w:r>
        <w:t>Cependant, même s'il agit d'autres formes de recherches biomédicales, épidémiologiques notamment, il apparaît également opportun dans la mesure où le ou les médecins à qui sera confiée la réalisation de la prestation sont connus, a priori, de les associer à la signature du contrat.</w:t>
      </w:r>
    </w:p>
    <w:p w:rsidR="00082A59" w:rsidRDefault="00082A59">
      <w:r>
        <w:t>Enfin, les associations de recherches réalisant des prestations de services à titre onéreux doivent dans la quasi totalité des cas être soumises aux impôts commerciaux, à savoir la TVA, l'impôt sur les sociétés et la taxe professionnelle.</w:t>
      </w:r>
    </w:p>
    <w:p w:rsidR="00082A59" w:rsidRDefault="00082A59">
      <w:r>
        <w:t>L'instruction fiscale intervenue récemment confirme cette analyse, il est donc essentiel que les associations de recherche régularisent leur situation, d'autant que l'administration fiscale a accordé pour cela un délai de tolérance expirant le 31 mars 1999.</w:t>
      </w:r>
    </w:p>
    <w:p w:rsidR="00082A59" w:rsidRDefault="00082A59">
      <w:r>
        <w:t>Il convient de souligner que l'administration a marqué sa volonté d'apporter une aide concrète aux associations souhaitant régulariser leur situation : En effet, au sein de chaque Direction Départementale des services fiscaux, un correspondant "associations" doit être désigné, dont les réponses seront opposables à l'administration.</w:t>
      </w:r>
    </w:p>
    <w:p w:rsidR="00082A59" w:rsidRDefault="00082A59">
      <w:pPr>
        <w:pStyle w:val="Titre"/>
      </w:pPr>
      <w:r>
        <w:t>III- LES CONTRATS PASSÉS AVEC LES HÔPITAUX</w:t>
      </w:r>
    </w:p>
    <w:p w:rsidR="00082A59" w:rsidRDefault="00082A59">
      <w:r>
        <w:t>Il est possible de passer le contrat de recherche directement avec l'hôpital, à charge ensuite pour l'hôpital de rémunérer (ou non) les médecins contribuant à la réalisation de la prestation.</w:t>
      </w:r>
    </w:p>
    <w:p w:rsidR="00082A59" w:rsidRDefault="00082A59">
      <w:r>
        <w:t>Dans un tel cas, le contrat doit être passé avec la Direction de l'hôpital et les sommes résultant de la prestation seront versées à la trésorerie de l'hôpital et gérées par son trésorier-payeur. A noter qu'il n'est pas possible de contracter avec des services hospitaliers qui n'ont pas d'autonomie juridique car n'ayant pas la personnalité morale.</w:t>
      </w:r>
    </w:p>
    <w:p w:rsidR="00082A59" w:rsidRDefault="00082A59">
      <w:r>
        <w:t>Ce type de contrat ne soulève pas de difficultés de fond particulières. Il est souvent déjà pratiqué par les centres de lutte contre le cancer.</w:t>
      </w:r>
    </w:p>
    <w:p w:rsidR="00082A59" w:rsidRDefault="00082A59"/>
    <w:p w:rsidR="00082A59" w:rsidRDefault="00082A59">
      <w:pPr>
        <w:pStyle w:val="Titre"/>
      </w:pPr>
      <w:r>
        <w:t xml:space="preserve">IV - LES CONTRATS PASSÉS AVEC D'AUTRES TYPES DE STRUCTURES </w:t>
      </w:r>
    </w:p>
    <w:p w:rsidR="00082A59" w:rsidRDefault="00082A59">
      <w:pPr>
        <w:pStyle w:val="Titre"/>
      </w:pPr>
      <w:r>
        <w:t>(sociétés, GIE ...)</w:t>
      </w:r>
    </w:p>
    <w:p w:rsidR="00082A59" w:rsidRDefault="00082A59">
      <w:r>
        <w:t>Il est possible que les laboratoires soient sollicités pour passer des contrats avec d'autres types de structures, qu'il s'agisse, notamment, de sociétés, de Groupements d'Intérêt Économique ou d'universités.</w:t>
      </w:r>
    </w:p>
    <w:p w:rsidR="00082A59" w:rsidRDefault="00082A59">
      <w:r>
        <w:t>En ce qui concerne les sociétés, il convient de se reporter au chapitre relatif aux associations, puisque les exigences sont les mêmes.</w:t>
      </w:r>
    </w:p>
    <w:p w:rsidR="00082A59" w:rsidRDefault="00082A59">
      <w:r>
        <w:t>En ce qui concerne les moyens humains, la question du bénévolat ne se posera pas, puisque les sociétés emploient des salariés. En ce qui concerne les moyens matériels, les exigences sont les mêmes que pour les associations à partir du moment où la société utilise des moyens appartenant à un hôpital.</w:t>
      </w:r>
    </w:p>
    <w:p w:rsidR="00082A59" w:rsidRDefault="00082A59">
      <w:r>
        <w:t>En ce qui concerne les GIE, il convient de demander les statuts afin de s'assurer que leur objet prévoit bien la réalisation de recherches..</w:t>
      </w:r>
    </w:p>
    <w:p w:rsidR="00082A59" w:rsidRDefault="00082A59">
      <w:r>
        <w:t>Dès lors que l'hôpital figure parmi les membres du GIE, la question des moyens matériels utilisés pour la réalisation de la prestation est résolue. En effet, une des caractéristiques des GIE est de permettre la mise en commun des moyens matériels appartenant à chacun des membres.</w:t>
      </w:r>
    </w:p>
    <w:p w:rsidR="00082A59" w:rsidRDefault="00082A59">
      <w:r>
        <w:t>Enfin, s'il s'agit de contrats passés avec des universités, les contrats doivent être passés avec des représentants légaux de l'université habilités à l'engager officiellement.</w:t>
      </w:r>
    </w:p>
    <w:p w:rsidR="00082A59" w:rsidRDefault="00082A59">
      <w:pPr>
        <w:sectPr w:rsidR="00082A59">
          <w:footerReference w:type="even" r:id="rId8"/>
          <w:footerReference w:type="default" r:id="rId9"/>
          <w:pgSz w:w="11906" w:h="16838" w:code="9"/>
          <w:pgMar w:top="1418" w:right="1418" w:bottom="1418" w:left="1418" w:header="720" w:footer="720" w:gutter="0"/>
          <w:cols w:space="720"/>
        </w:sectPr>
      </w:pPr>
      <w:r>
        <w:t>L'université doit dans un tel cas signer pour elle-même, et en aucun cas pour le compte d'un investigateur. L'investigateur signera également le contrat, comme cela était indiqué plus haut dans les développements.</w:t>
      </w:r>
    </w:p>
    <w:p w:rsidR="00082A59" w:rsidRDefault="00082A59"/>
    <w:p w:rsidR="00082A59" w:rsidRDefault="00082A59"/>
    <w:p w:rsidR="00082A59" w:rsidRDefault="00082A59"/>
    <w:p w:rsidR="00082A59" w:rsidRDefault="00082A59"/>
    <w:p w:rsidR="00082A59" w:rsidRDefault="00082A59"/>
    <w:p w:rsidR="00082A59" w:rsidRDefault="00082A59"/>
    <w:p w:rsidR="00082A59" w:rsidRDefault="00082A59"/>
    <w:p w:rsidR="00082A59" w:rsidRDefault="00082A59">
      <w:pPr>
        <w:rPr>
          <w:sz w:val="18"/>
          <w:szCs w:val="18"/>
        </w:rPr>
      </w:pPr>
      <w:r>
        <w:t>ANNEXES</w:t>
      </w:r>
    </w:p>
    <w:p w:rsidR="00082A59" w:rsidRDefault="00082A59">
      <w:pPr>
        <w:sectPr w:rsidR="00082A59">
          <w:pgSz w:w="11906" w:h="16838" w:code="9"/>
          <w:pgMar w:top="1418" w:right="1418" w:bottom="1418" w:left="1418" w:header="720" w:footer="720" w:gutter="0"/>
          <w:cols w:space="720"/>
        </w:sectPr>
      </w:pPr>
    </w:p>
    <w:p w:rsidR="00082A59" w:rsidRDefault="00082A59"/>
    <w:p w:rsidR="00082A59" w:rsidRDefault="00082A59">
      <w:r>
        <w:t>ANNEXE 1 - A</w:t>
      </w:r>
    </w:p>
    <w:p w:rsidR="00082A59" w:rsidRDefault="00082A59"/>
    <w:p w:rsidR="00082A59" w:rsidRDefault="00082A59">
      <w:pPr>
        <w:pStyle w:val="Titre"/>
      </w:pPr>
      <w:r>
        <w:t>STATUT SOCIAL DES MÉDECINS TRAVAILLEURS NON SALARIÉS -DÉTAIL</w:t>
      </w:r>
    </w:p>
    <w:p w:rsidR="00082A59" w:rsidRDefault="00082A59">
      <w:pPr>
        <w:pStyle w:val="Titre"/>
      </w:pPr>
      <w:r>
        <w:t>DES COTISATIONS SOCIALES EXIGIBLES (*)</w:t>
      </w:r>
    </w:p>
    <w:p w:rsidR="00082A59" w:rsidRDefault="00082A59">
      <w:pPr>
        <w:pStyle w:val="Titre"/>
      </w:pPr>
      <w:r>
        <w:t>Applicable uniquement aux médecins non conventionnés</w:t>
      </w:r>
    </w:p>
    <w:p w:rsidR="00082A59" w:rsidRDefault="00082A59">
      <w:r>
        <w:t>(base 1998)</w:t>
      </w:r>
    </w:p>
    <w:p w:rsidR="00082A59" w:rsidRDefault="00082A59"/>
    <w:p w:rsidR="00082A59" w:rsidRDefault="00082A59">
      <w:pPr>
        <w:pStyle w:val="Titre1"/>
      </w:pPr>
      <w:r>
        <w:t>I - ASSURANCE MATERNITÉ DES TRAVAILLEURS NON SALARIÉS</w:t>
      </w:r>
    </w:p>
    <w:p w:rsidR="00082A59" w:rsidRDefault="00082A59"/>
    <w:p w:rsidR="00082A59" w:rsidRDefault="00082A59">
      <w:r>
        <w:t>Cotisation annuelle</w:t>
      </w:r>
    </w:p>
    <w:p w:rsidR="00082A59" w:rsidRDefault="00082A59"/>
    <w:p w:rsidR="00082A59" w:rsidRDefault="00082A59">
      <w:r>
        <w:t>5,90 % du revenu professionnel non salarié net jusqu'au plafond annuel en vigueur (169.080 F) et au dessus de ce plafond, 5,30 % dans la limite de 5 fois le plafond (845.400 F).</w:t>
      </w:r>
    </w:p>
    <w:p w:rsidR="00082A59" w:rsidRDefault="00082A59">
      <w:r>
        <w:t>Cotisation minimale</w:t>
      </w:r>
    </w:p>
    <w:p w:rsidR="00082A59" w:rsidRDefault="00082A59">
      <w:r>
        <w:t>5,90 % de 40 % du plafond, soit 3.990 F. Réduction de 30 % sur cotisation minimale en cas de début ou reprise d'activité, pendant 24 mois.</w:t>
      </w:r>
    </w:p>
    <w:p w:rsidR="00082A59" w:rsidRDefault="00082A59">
      <w:r>
        <w:t>CSG - CRDS : 8 % du revenu professionnel net majoré des cotisation sociales obligatoires.</w:t>
      </w:r>
    </w:p>
    <w:p w:rsidR="00082A59" w:rsidRDefault="00082A59">
      <w:pPr>
        <w:pStyle w:val="Titre1"/>
      </w:pPr>
      <w:r>
        <w:t>II - ALLOCATIONS FAMILIALES</w:t>
      </w:r>
    </w:p>
    <w:p w:rsidR="00082A59" w:rsidRDefault="00082A59"/>
    <w:p w:rsidR="00082A59" w:rsidRDefault="00082A59">
      <w:r>
        <w:t>Cotisation : 5,4 % du revenu professionnel net non salarié.</w:t>
      </w:r>
    </w:p>
    <w:p w:rsidR="00082A59" w:rsidRDefault="00082A59"/>
    <w:p w:rsidR="00082A59" w:rsidRDefault="00082A59">
      <w:r>
        <w:t>Début d'activité : cotisation calculée à titre provisionnel sur un revenu forfaitaire : 37.953 F pour 1998. Elle est ensuite régularisée en fonction du revenu réel. Elle s'applique pour l'année de début d'activité et l'année suivante.</w:t>
      </w:r>
    </w:p>
    <w:p w:rsidR="00082A59" w:rsidRDefault="00082A59"/>
    <w:p w:rsidR="00082A59" w:rsidRDefault="00082A59">
      <w:pPr>
        <w:pStyle w:val="Titre1"/>
      </w:pPr>
      <w:r>
        <w:t>III - ASSURANCE VIEILLESSE</w:t>
      </w:r>
    </w:p>
    <w:p w:rsidR="00082A59" w:rsidRDefault="00082A59"/>
    <w:p w:rsidR="00082A59" w:rsidRDefault="00082A59">
      <w:r>
        <w:t>Caisse Autonome de Retraite des Médecins Français</w:t>
      </w:r>
    </w:p>
    <w:p w:rsidR="00082A59" w:rsidRDefault="00082A59">
      <w:r>
        <w:t>1. Régime de base : Cotisation forfaitaire de 11.000 F à laquelle s'ajoute une cotisation de 1,4 % du revenu professionnel non salarié limité à 5 fois le plafond de Sécurité Sociale (845.400 F).</w:t>
      </w:r>
    </w:p>
    <w:p w:rsidR="00082A59" w:rsidRDefault="00082A59">
      <w:r>
        <w:t>Début d'activité :</w:t>
      </w:r>
    </w:p>
    <w:p w:rsidR="00082A59" w:rsidRDefault="00082A59">
      <w:r>
        <w:t>Pour la première année, la cotisation de 1,4 % est assise sur un revenu forfaitaire égal au tiers du plafond de sécurité sociale ;</w:t>
      </w:r>
    </w:p>
    <w:p w:rsidR="00082A59" w:rsidRDefault="00082A59">
      <w:r>
        <w:t>Pour la deuxième année, à la moitié du plafond ;</w:t>
      </w:r>
    </w:p>
    <w:p w:rsidR="00082A59" w:rsidRDefault="00082A59">
      <w:r>
        <w:t xml:space="preserve">Des exonérations pour insuffisance de revenus peuvent être accordées : </w:t>
      </w:r>
    </w:p>
    <w:p w:rsidR="00082A59" w:rsidRDefault="00082A59"/>
    <w:p w:rsidR="00082A59" w:rsidRDefault="00082A59">
      <w:r>
        <w:t>2. Régime complémentaire : Cotisation de</w:t>
      </w:r>
    </w:p>
    <w:p w:rsidR="00082A59" w:rsidRDefault="00082A59">
      <w:r>
        <w:t>8,10 % du revenu professionnel non salarié. Des exonérations existent pour insuffisance de revenu.</w:t>
      </w:r>
    </w:p>
    <w:p w:rsidR="00082A59" w:rsidRDefault="00082A59">
      <w:r>
        <w:t>3. Invalidité-décès : 2.796 F.</w:t>
      </w:r>
    </w:p>
    <w:p w:rsidR="00082A59" w:rsidRDefault="00082A59">
      <w:r>
        <w:t>________________________________________</w:t>
      </w:r>
    </w:p>
    <w:p w:rsidR="00082A59" w:rsidRDefault="00082A59">
      <w:r>
        <w:t>(*) L'assiette des cotisations est le revenu net, c'est-à-dire le</w:t>
      </w:r>
    </w:p>
    <w:p w:rsidR="00082A59" w:rsidRDefault="00082A59">
      <w:r>
        <w:t>revenu après déduction des frais professionnels</w:t>
      </w:r>
    </w:p>
    <w:p w:rsidR="00082A59" w:rsidRDefault="00082A59"/>
    <w:p w:rsidR="00082A59" w:rsidRDefault="00082A59"/>
    <w:p w:rsidR="00082A59" w:rsidRDefault="00082A59"/>
    <w:p w:rsidR="00082A59" w:rsidRDefault="00082A59"/>
    <w:p w:rsidR="00082A59" w:rsidRDefault="00082A59"/>
    <w:p w:rsidR="00082A59" w:rsidRDefault="00082A59"/>
    <w:p w:rsidR="00082A59" w:rsidRDefault="00082A59"/>
    <w:p w:rsidR="00082A59" w:rsidRDefault="00082A59"/>
    <w:p w:rsidR="00082A59" w:rsidRDefault="00082A59">
      <w:r>
        <w:t>ANNEXE 1-B</w:t>
      </w:r>
    </w:p>
    <w:p w:rsidR="00082A59" w:rsidRDefault="00082A59">
      <w:r>
        <w:t>ESTIMATION DE CHARGES SOCIALES EN FONCTION</w:t>
      </w:r>
    </w:p>
    <w:p w:rsidR="00082A59" w:rsidRDefault="00082A59">
      <w:r>
        <w:t>DE DIFFÉRENTS SEUILS DE REVENUS ISSUS DU</w:t>
      </w:r>
    </w:p>
    <w:p w:rsidR="00082A59" w:rsidRDefault="00082A59">
      <w:r>
        <w:t>TRAVAIL INDÉPENDANT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10"/>
        <w:gridCol w:w="1400"/>
        <w:gridCol w:w="1400"/>
        <w:gridCol w:w="1400"/>
        <w:gridCol w:w="1400"/>
        <w:gridCol w:w="1400"/>
      </w:tblGrid>
      <w:tr w:rsidR="00082A59">
        <w:tblPrEx>
          <w:tblCellMar>
            <w:top w:w="0" w:type="dxa"/>
            <w:bottom w:w="0" w:type="dxa"/>
          </w:tblCellMar>
        </w:tblPrEx>
        <w:tc>
          <w:tcPr>
            <w:tcW w:w="2835" w:type="dxa"/>
          </w:tcPr>
          <w:p w:rsidR="00082A59" w:rsidRDefault="00082A59">
            <w:pPr>
              <w:pStyle w:val="Nom"/>
              <w:rPr>
                <w:sz w:val="32"/>
                <w:szCs w:val="32"/>
              </w:rPr>
            </w:pPr>
            <w:r>
              <w:t>REVENUS</w:t>
            </w:r>
          </w:p>
        </w:tc>
        <w:tc>
          <w:tcPr>
            <w:tcW w:w="1134" w:type="dxa"/>
          </w:tcPr>
          <w:p w:rsidR="00082A59" w:rsidRDefault="00082A59">
            <w:pPr>
              <w:pStyle w:val="Nom"/>
            </w:pPr>
            <w:r>
              <w:t>5000</w:t>
            </w:r>
          </w:p>
        </w:tc>
        <w:tc>
          <w:tcPr>
            <w:tcW w:w="1134" w:type="dxa"/>
          </w:tcPr>
          <w:p w:rsidR="00082A59" w:rsidRDefault="00082A59">
            <w:pPr>
              <w:pStyle w:val="Nom"/>
            </w:pPr>
            <w:r>
              <w:t>10000</w:t>
            </w:r>
          </w:p>
        </w:tc>
        <w:tc>
          <w:tcPr>
            <w:tcW w:w="1134" w:type="dxa"/>
          </w:tcPr>
          <w:p w:rsidR="00082A59" w:rsidRDefault="00082A59">
            <w:pPr>
              <w:pStyle w:val="Nom"/>
            </w:pPr>
            <w:r>
              <w:t>50 000</w:t>
            </w:r>
          </w:p>
        </w:tc>
        <w:tc>
          <w:tcPr>
            <w:tcW w:w="1134" w:type="dxa"/>
          </w:tcPr>
          <w:p w:rsidR="00082A59" w:rsidRDefault="00082A59">
            <w:pPr>
              <w:pStyle w:val="Nom"/>
            </w:pPr>
            <w:r>
              <w:t>100 000</w:t>
            </w:r>
          </w:p>
        </w:tc>
        <w:tc>
          <w:tcPr>
            <w:tcW w:w="1134" w:type="dxa"/>
          </w:tcPr>
          <w:p w:rsidR="00082A59" w:rsidRDefault="00082A59">
            <w:pPr>
              <w:pStyle w:val="Nom"/>
            </w:pPr>
            <w:r>
              <w:t>150 000</w:t>
            </w:r>
          </w:p>
        </w:tc>
      </w:tr>
      <w:tr w:rsidR="00082A59">
        <w:tblPrEx>
          <w:tblCellMar>
            <w:top w:w="0" w:type="dxa"/>
            <w:bottom w:w="0" w:type="dxa"/>
          </w:tblCellMar>
        </w:tblPrEx>
        <w:tc>
          <w:tcPr>
            <w:tcW w:w="2835" w:type="dxa"/>
          </w:tcPr>
          <w:p w:rsidR="00082A59" w:rsidRDefault="00082A59">
            <w:pPr>
              <w:rPr>
                <w:sz w:val="32"/>
                <w:szCs w:val="32"/>
              </w:rPr>
            </w:pPr>
            <w:r>
              <w:t>MALADIE (5,3 %)</w:t>
            </w:r>
          </w:p>
        </w:tc>
        <w:tc>
          <w:tcPr>
            <w:tcW w:w="1134" w:type="dxa"/>
          </w:tcPr>
          <w:p w:rsidR="00082A59" w:rsidRDefault="00082A59">
            <w:r>
              <w:t>3990</w:t>
            </w:r>
          </w:p>
        </w:tc>
        <w:tc>
          <w:tcPr>
            <w:tcW w:w="1134" w:type="dxa"/>
          </w:tcPr>
          <w:p w:rsidR="00082A59" w:rsidRDefault="00082A59">
            <w:r>
              <w:t>3990</w:t>
            </w:r>
          </w:p>
        </w:tc>
        <w:tc>
          <w:tcPr>
            <w:tcW w:w="1134" w:type="dxa"/>
          </w:tcPr>
          <w:p w:rsidR="00082A59" w:rsidRDefault="00082A59">
            <w:r>
              <w:t>3990</w:t>
            </w:r>
          </w:p>
        </w:tc>
        <w:tc>
          <w:tcPr>
            <w:tcW w:w="1134" w:type="dxa"/>
          </w:tcPr>
          <w:p w:rsidR="00082A59" w:rsidRDefault="00082A59">
            <w:r>
              <w:t>5900</w:t>
            </w:r>
          </w:p>
        </w:tc>
        <w:tc>
          <w:tcPr>
            <w:tcW w:w="1134" w:type="dxa"/>
          </w:tcPr>
          <w:p w:rsidR="00082A59" w:rsidRDefault="00082A59">
            <w:r>
              <w:t>8500</w:t>
            </w:r>
          </w:p>
        </w:tc>
      </w:tr>
      <w:tr w:rsidR="00082A59">
        <w:tblPrEx>
          <w:tblCellMar>
            <w:top w:w="0" w:type="dxa"/>
            <w:bottom w:w="0" w:type="dxa"/>
          </w:tblCellMar>
        </w:tblPrEx>
        <w:tc>
          <w:tcPr>
            <w:tcW w:w="2835" w:type="dxa"/>
          </w:tcPr>
          <w:p w:rsidR="00082A59" w:rsidRDefault="00082A59">
            <w:pPr>
              <w:rPr>
                <w:sz w:val="32"/>
                <w:szCs w:val="32"/>
              </w:rPr>
            </w:pPr>
            <w:r>
              <w:t>ALLOC FAMILL (5,4 %)</w:t>
            </w:r>
          </w:p>
        </w:tc>
        <w:tc>
          <w:tcPr>
            <w:tcW w:w="1134" w:type="dxa"/>
          </w:tcPr>
          <w:p w:rsidR="00082A59" w:rsidRDefault="00082A59">
            <w:r>
              <w:t>270</w:t>
            </w:r>
          </w:p>
        </w:tc>
        <w:tc>
          <w:tcPr>
            <w:tcW w:w="1134" w:type="dxa"/>
          </w:tcPr>
          <w:p w:rsidR="00082A59" w:rsidRDefault="00082A59">
            <w:r>
              <w:t>540</w:t>
            </w:r>
          </w:p>
        </w:tc>
        <w:tc>
          <w:tcPr>
            <w:tcW w:w="1134" w:type="dxa"/>
          </w:tcPr>
          <w:p w:rsidR="00082A59" w:rsidRDefault="00082A59">
            <w:r>
              <w:t>2700</w:t>
            </w:r>
          </w:p>
        </w:tc>
        <w:tc>
          <w:tcPr>
            <w:tcW w:w="1134" w:type="dxa"/>
          </w:tcPr>
          <w:p w:rsidR="00082A59" w:rsidRDefault="00082A59">
            <w:r>
              <w:t>5400</w:t>
            </w:r>
          </w:p>
        </w:tc>
        <w:tc>
          <w:tcPr>
            <w:tcW w:w="1134" w:type="dxa"/>
          </w:tcPr>
          <w:p w:rsidR="00082A59" w:rsidRDefault="00082A59">
            <w:r>
              <w:t>8100</w:t>
            </w:r>
          </w:p>
        </w:tc>
      </w:tr>
      <w:tr w:rsidR="00082A59">
        <w:tblPrEx>
          <w:tblCellMar>
            <w:top w:w="0" w:type="dxa"/>
            <w:bottom w:w="0" w:type="dxa"/>
          </w:tblCellMar>
        </w:tblPrEx>
        <w:tc>
          <w:tcPr>
            <w:tcW w:w="2835" w:type="dxa"/>
          </w:tcPr>
          <w:p w:rsidR="00082A59" w:rsidRDefault="00082A59">
            <w:pPr>
              <w:rPr>
                <w:sz w:val="32"/>
                <w:szCs w:val="32"/>
              </w:rPr>
            </w:pPr>
            <w:r>
              <w:t>VIEILLESSE (CARMF)</w:t>
            </w:r>
          </w:p>
        </w:tc>
        <w:tc>
          <w:tcPr>
            <w:tcW w:w="1134" w:type="dxa"/>
          </w:tcPr>
          <w:p w:rsidR="00082A59" w:rsidRDefault="00082A59">
            <w:r>
              <w:t>2750</w:t>
            </w:r>
          </w:p>
        </w:tc>
        <w:tc>
          <w:tcPr>
            <w:tcW w:w="1134" w:type="dxa"/>
          </w:tcPr>
          <w:p w:rsidR="00082A59" w:rsidRDefault="00082A59">
            <w:r>
              <w:t>2750</w:t>
            </w:r>
          </w:p>
        </w:tc>
        <w:tc>
          <w:tcPr>
            <w:tcW w:w="1134" w:type="dxa"/>
          </w:tcPr>
          <w:p w:rsidR="00082A59" w:rsidRDefault="00082A59">
            <w:r>
              <w:t>2750</w:t>
            </w:r>
          </w:p>
        </w:tc>
        <w:tc>
          <w:tcPr>
            <w:tcW w:w="1134" w:type="dxa"/>
          </w:tcPr>
          <w:p w:rsidR="00082A59" w:rsidRDefault="00082A59">
            <w:r>
              <w:t>8250</w:t>
            </w:r>
          </w:p>
        </w:tc>
        <w:tc>
          <w:tcPr>
            <w:tcW w:w="1134" w:type="dxa"/>
          </w:tcPr>
          <w:p w:rsidR="00082A59" w:rsidRDefault="00082A59">
            <w:r>
              <w:t>11000</w:t>
            </w:r>
          </w:p>
        </w:tc>
      </w:tr>
      <w:tr w:rsidR="00082A59">
        <w:tblPrEx>
          <w:tblCellMar>
            <w:top w:w="0" w:type="dxa"/>
            <w:bottom w:w="0" w:type="dxa"/>
          </w:tblCellMar>
        </w:tblPrEx>
        <w:tc>
          <w:tcPr>
            <w:tcW w:w="2835" w:type="dxa"/>
          </w:tcPr>
          <w:p w:rsidR="00082A59" w:rsidRDefault="00082A59">
            <w:pPr>
              <w:rPr>
                <w:sz w:val="32"/>
                <w:szCs w:val="32"/>
              </w:rPr>
            </w:pPr>
            <w:r>
              <w:t>COMPLÉMENT. (8,1 %)</w:t>
            </w:r>
          </w:p>
        </w:tc>
        <w:tc>
          <w:tcPr>
            <w:tcW w:w="1134" w:type="dxa"/>
          </w:tcPr>
          <w:p w:rsidR="00082A59" w:rsidRDefault="00082A59">
            <w:r>
              <w:t>405</w:t>
            </w:r>
          </w:p>
        </w:tc>
        <w:tc>
          <w:tcPr>
            <w:tcW w:w="1134" w:type="dxa"/>
          </w:tcPr>
          <w:p w:rsidR="00082A59" w:rsidRDefault="00082A59">
            <w:r>
              <w:t>810</w:t>
            </w:r>
          </w:p>
        </w:tc>
        <w:tc>
          <w:tcPr>
            <w:tcW w:w="1134" w:type="dxa"/>
          </w:tcPr>
          <w:p w:rsidR="00082A59" w:rsidRDefault="00082A59">
            <w:r>
              <w:t>4050</w:t>
            </w:r>
          </w:p>
        </w:tc>
        <w:tc>
          <w:tcPr>
            <w:tcW w:w="1134" w:type="dxa"/>
          </w:tcPr>
          <w:p w:rsidR="00082A59" w:rsidRDefault="00082A59">
            <w:r>
              <w:t>8100</w:t>
            </w:r>
          </w:p>
        </w:tc>
        <w:tc>
          <w:tcPr>
            <w:tcW w:w="1134" w:type="dxa"/>
          </w:tcPr>
          <w:p w:rsidR="00082A59" w:rsidRDefault="00082A59">
            <w:r>
              <w:t>12150</w:t>
            </w:r>
          </w:p>
        </w:tc>
      </w:tr>
      <w:tr w:rsidR="00082A59">
        <w:tblPrEx>
          <w:tblCellMar>
            <w:top w:w="0" w:type="dxa"/>
            <w:bottom w:w="0" w:type="dxa"/>
          </w:tblCellMar>
        </w:tblPrEx>
        <w:tc>
          <w:tcPr>
            <w:tcW w:w="2835" w:type="dxa"/>
          </w:tcPr>
          <w:p w:rsidR="00082A59" w:rsidRDefault="00082A59">
            <w:pPr>
              <w:rPr>
                <w:sz w:val="32"/>
                <w:szCs w:val="32"/>
              </w:rPr>
            </w:pPr>
            <w:r>
              <w:t>INVALIDITÉ DÉCÈS</w:t>
            </w:r>
          </w:p>
        </w:tc>
        <w:tc>
          <w:tcPr>
            <w:tcW w:w="1134" w:type="dxa"/>
          </w:tcPr>
          <w:p w:rsidR="00082A59" w:rsidRDefault="00082A59">
            <w:r>
              <w:t>2796</w:t>
            </w:r>
          </w:p>
        </w:tc>
        <w:tc>
          <w:tcPr>
            <w:tcW w:w="1134" w:type="dxa"/>
          </w:tcPr>
          <w:p w:rsidR="00082A59" w:rsidRDefault="00082A59">
            <w:r>
              <w:t>2796</w:t>
            </w:r>
          </w:p>
        </w:tc>
        <w:tc>
          <w:tcPr>
            <w:tcW w:w="1134" w:type="dxa"/>
          </w:tcPr>
          <w:p w:rsidR="00082A59" w:rsidRDefault="00082A59">
            <w:r>
              <w:t>2796</w:t>
            </w:r>
          </w:p>
        </w:tc>
        <w:tc>
          <w:tcPr>
            <w:tcW w:w="1134" w:type="dxa"/>
          </w:tcPr>
          <w:p w:rsidR="00082A59" w:rsidRDefault="00082A59">
            <w:r>
              <w:t>2796</w:t>
            </w:r>
          </w:p>
        </w:tc>
        <w:tc>
          <w:tcPr>
            <w:tcW w:w="1134" w:type="dxa"/>
          </w:tcPr>
          <w:p w:rsidR="00082A59" w:rsidRDefault="00082A59">
            <w:r>
              <w:t>2796</w:t>
            </w:r>
          </w:p>
        </w:tc>
      </w:tr>
      <w:tr w:rsidR="00082A59">
        <w:tblPrEx>
          <w:tblCellMar>
            <w:top w:w="0" w:type="dxa"/>
            <w:bottom w:w="0" w:type="dxa"/>
          </w:tblCellMar>
        </w:tblPrEx>
        <w:tc>
          <w:tcPr>
            <w:tcW w:w="2835" w:type="dxa"/>
          </w:tcPr>
          <w:p w:rsidR="00082A59" w:rsidRDefault="00082A59">
            <w:pPr>
              <w:rPr>
                <w:sz w:val="32"/>
                <w:szCs w:val="32"/>
              </w:rPr>
            </w:pPr>
            <w:r>
              <w:t>CSG (8,0 %)</w:t>
            </w:r>
          </w:p>
        </w:tc>
        <w:tc>
          <w:tcPr>
            <w:tcW w:w="1134" w:type="dxa"/>
          </w:tcPr>
          <w:p w:rsidR="00082A59" w:rsidRDefault="00082A59">
            <w:r>
              <w:t>1217</w:t>
            </w:r>
          </w:p>
        </w:tc>
        <w:tc>
          <w:tcPr>
            <w:tcW w:w="1134" w:type="dxa"/>
          </w:tcPr>
          <w:p w:rsidR="00082A59" w:rsidRDefault="00082A59">
            <w:r>
              <w:t>1671</w:t>
            </w:r>
          </w:p>
        </w:tc>
        <w:tc>
          <w:tcPr>
            <w:tcW w:w="1134" w:type="dxa"/>
          </w:tcPr>
          <w:p w:rsidR="00082A59" w:rsidRDefault="00082A59">
            <w:r>
              <w:t>5303</w:t>
            </w:r>
          </w:p>
        </w:tc>
        <w:tc>
          <w:tcPr>
            <w:tcW w:w="1134" w:type="dxa"/>
          </w:tcPr>
          <w:p w:rsidR="00082A59" w:rsidRDefault="00082A59">
            <w:r>
              <w:t>10436</w:t>
            </w:r>
          </w:p>
        </w:tc>
        <w:tc>
          <w:tcPr>
            <w:tcW w:w="1134" w:type="dxa"/>
          </w:tcPr>
          <w:p w:rsidR="00082A59" w:rsidRDefault="00082A59">
            <w:r>
              <w:t>15432</w:t>
            </w:r>
          </w:p>
        </w:tc>
      </w:tr>
      <w:tr w:rsidR="00082A59">
        <w:tblPrEx>
          <w:tblCellMar>
            <w:top w:w="0" w:type="dxa"/>
            <w:bottom w:w="0" w:type="dxa"/>
          </w:tblCellMar>
        </w:tblPrEx>
        <w:tc>
          <w:tcPr>
            <w:tcW w:w="2835" w:type="dxa"/>
          </w:tcPr>
          <w:p w:rsidR="00082A59" w:rsidRDefault="00082A59">
            <w:pPr>
              <w:rPr>
                <w:sz w:val="32"/>
                <w:szCs w:val="32"/>
              </w:rPr>
            </w:pPr>
            <w:r>
              <w:t>TOTAL</w:t>
            </w:r>
          </w:p>
        </w:tc>
        <w:tc>
          <w:tcPr>
            <w:tcW w:w="1134" w:type="dxa"/>
          </w:tcPr>
          <w:p w:rsidR="00082A59" w:rsidRDefault="00082A59">
            <w:r>
              <w:t>11428</w:t>
            </w:r>
          </w:p>
        </w:tc>
        <w:tc>
          <w:tcPr>
            <w:tcW w:w="1134" w:type="dxa"/>
          </w:tcPr>
          <w:p w:rsidR="00082A59" w:rsidRDefault="00082A59">
            <w:r>
              <w:t>12557</w:t>
            </w:r>
          </w:p>
        </w:tc>
        <w:tc>
          <w:tcPr>
            <w:tcW w:w="1134" w:type="dxa"/>
          </w:tcPr>
          <w:p w:rsidR="00082A59" w:rsidRDefault="00082A59">
            <w:r>
              <w:t>21589</w:t>
            </w:r>
          </w:p>
        </w:tc>
        <w:tc>
          <w:tcPr>
            <w:tcW w:w="1134" w:type="dxa"/>
          </w:tcPr>
          <w:p w:rsidR="00082A59" w:rsidRDefault="00082A59">
            <w:r>
              <w:t>40882</w:t>
            </w:r>
          </w:p>
        </w:tc>
        <w:tc>
          <w:tcPr>
            <w:tcW w:w="1134" w:type="dxa"/>
          </w:tcPr>
          <w:p w:rsidR="00082A59" w:rsidRDefault="00082A59">
            <w:r>
              <w:t>57978</w:t>
            </w:r>
          </w:p>
        </w:tc>
      </w:tr>
      <w:tr w:rsidR="00082A59">
        <w:tblPrEx>
          <w:tblCellMar>
            <w:top w:w="0" w:type="dxa"/>
            <w:bottom w:w="0" w:type="dxa"/>
          </w:tblCellMar>
        </w:tblPrEx>
        <w:tc>
          <w:tcPr>
            <w:tcW w:w="2835" w:type="dxa"/>
          </w:tcPr>
          <w:p w:rsidR="00082A59" w:rsidRDefault="00082A59">
            <w:pPr>
              <w:rPr>
                <w:sz w:val="32"/>
                <w:szCs w:val="32"/>
              </w:rPr>
            </w:pPr>
            <w:r>
              <w:t>RESTE</w:t>
            </w:r>
          </w:p>
        </w:tc>
        <w:tc>
          <w:tcPr>
            <w:tcW w:w="1134" w:type="dxa"/>
          </w:tcPr>
          <w:p w:rsidR="00082A59" w:rsidRDefault="00082A59">
            <w:r>
              <w:t>-6428</w:t>
            </w:r>
          </w:p>
        </w:tc>
        <w:tc>
          <w:tcPr>
            <w:tcW w:w="1134" w:type="dxa"/>
          </w:tcPr>
          <w:p w:rsidR="00082A59" w:rsidRDefault="00082A59">
            <w:r>
              <w:t>-2557</w:t>
            </w:r>
          </w:p>
        </w:tc>
        <w:tc>
          <w:tcPr>
            <w:tcW w:w="1134" w:type="dxa"/>
          </w:tcPr>
          <w:p w:rsidR="00082A59" w:rsidRDefault="00082A59">
            <w:r>
              <w:t>28411</w:t>
            </w:r>
          </w:p>
        </w:tc>
        <w:tc>
          <w:tcPr>
            <w:tcW w:w="1134" w:type="dxa"/>
          </w:tcPr>
          <w:p w:rsidR="00082A59" w:rsidRDefault="00082A59">
            <w:r>
              <w:t>59118</w:t>
            </w:r>
          </w:p>
        </w:tc>
        <w:tc>
          <w:tcPr>
            <w:tcW w:w="1134" w:type="dxa"/>
          </w:tcPr>
          <w:p w:rsidR="00082A59" w:rsidRDefault="00082A59">
            <w:r>
              <w:t>92022</w:t>
            </w:r>
          </w:p>
        </w:tc>
      </w:tr>
    </w:tbl>
    <w:p w:rsidR="00082A59" w:rsidRDefault="00082A59">
      <w:pPr>
        <w:sectPr w:rsidR="00082A59">
          <w:pgSz w:w="11906" w:h="16838" w:code="9"/>
          <w:pgMar w:top="1418" w:right="1418" w:bottom="1418" w:left="1418" w:header="720" w:footer="720" w:gutter="0"/>
          <w:cols w:space="720"/>
        </w:sectPr>
      </w:pPr>
    </w:p>
    <w:p w:rsidR="00082A59" w:rsidRDefault="00082A59"/>
    <w:p w:rsidR="00082A59" w:rsidRDefault="00082A59">
      <w:r>
        <w:t>ANNEXE 2</w:t>
      </w:r>
    </w:p>
    <w:p w:rsidR="00082A59" w:rsidRDefault="00082A59"/>
    <w:p w:rsidR="00082A59" w:rsidRDefault="00082A59">
      <w:pPr>
        <w:pStyle w:val="Titre"/>
      </w:pPr>
      <w:r>
        <w:t>MODÈLE INDICATIF D'ATTESTATION RELATIVE</w:t>
      </w:r>
    </w:p>
    <w:p w:rsidR="00082A59" w:rsidRDefault="00082A59">
      <w:pPr>
        <w:pStyle w:val="Titre"/>
      </w:pPr>
      <w:r>
        <w:t>À LA SITUATION DE L'ASSOCIATION</w:t>
      </w:r>
    </w:p>
    <w:p w:rsidR="00082A59" w:rsidRDefault="00082A59">
      <w:pPr>
        <w:pStyle w:val="Titre"/>
      </w:pPr>
      <w:r>
        <w:t>AU REGARD DU CODE DU TRAVAIL</w:t>
      </w:r>
    </w:p>
    <w:p w:rsidR="00082A59" w:rsidRDefault="00082A59"/>
    <w:p w:rsidR="00082A59" w:rsidRDefault="00082A59"/>
    <w:p w:rsidR="00082A59" w:rsidRDefault="00082A59">
      <w:r>
        <w:t>Je soussigné (e)</w:t>
      </w:r>
    </w:p>
    <w:p w:rsidR="00082A59" w:rsidRDefault="00082A59">
      <w:r>
        <w:t>...........................................(nom)</w:t>
      </w:r>
    </w:p>
    <w:p w:rsidR="00082A59" w:rsidRDefault="00082A59">
      <w:r>
        <w:t>.......................................(prénom), agissant en</w:t>
      </w:r>
    </w:p>
    <w:p w:rsidR="00082A59" w:rsidRDefault="00082A59">
      <w:r>
        <w:t>qualité de ............................................................... de</w:t>
      </w:r>
    </w:p>
    <w:p w:rsidR="00082A59" w:rsidRDefault="00082A59">
      <w:r>
        <w:t>l'association ......................(dénomination),</w:t>
      </w:r>
    </w:p>
    <w:p w:rsidR="00082A59" w:rsidRDefault="00082A59">
      <w:r>
        <w:t>déclarée à la Préfecture de...................................</w:t>
      </w:r>
    </w:p>
    <w:p w:rsidR="00082A59" w:rsidRDefault="00082A59">
      <w:r>
        <w:t>le</w:t>
      </w:r>
    </w:p>
    <w:p w:rsidR="00082A59" w:rsidRDefault="00082A59">
      <w:r>
        <w:t>...........................................................................et</w:t>
      </w:r>
    </w:p>
    <w:p w:rsidR="00082A59" w:rsidRDefault="00082A59">
      <w:r>
        <w:t>dont le siège est situé</w:t>
      </w:r>
    </w:p>
    <w:p w:rsidR="00082A59" w:rsidRDefault="00082A59">
      <w:r>
        <w:t>................................................................................</w:t>
      </w:r>
    </w:p>
    <w:p w:rsidR="00082A59" w:rsidRDefault="00082A59">
      <w:r>
        <w:t>................................................................................</w:t>
      </w:r>
    </w:p>
    <w:p w:rsidR="00082A59" w:rsidRDefault="00082A59">
      <w:r>
        <w:t>................................................................................</w:t>
      </w:r>
    </w:p>
    <w:p w:rsidR="00082A59" w:rsidRDefault="00082A59"/>
    <w:p w:rsidR="00082A59" w:rsidRDefault="00082A59">
      <w:r>
        <w:t>1. Atteste sur l'honneur que l'association s'est acquittée de toutes ses obligations au regard des articles L. 324-10, L.324-14 et L. 341-6 du Code du Travail et en particulier :</w:t>
      </w:r>
    </w:p>
    <w:p w:rsidR="00082A59" w:rsidRDefault="00082A59">
      <w:r>
        <w:t>- qu'elle a procédé aux déclarations exigées par les organismes de protection sociale et par l'administration fiscale,</w:t>
      </w:r>
    </w:p>
    <w:p w:rsidR="00082A59" w:rsidRDefault="00082A59">
      <w:r>
        <w:t>- qu'elle établit des bulletins de paie à ses salariés (si elle en emploie) et qu'elle tient un livre et un registre du personnel,</w:t>
      </w:r>
    </w:p>
    <w:p w:rsidR="00082A59" w:rsidRDefault="00082A59">
      <w:r>
        <w:t>- qu'elle n'emploie pas de salariés étrangers démunis du titre les autorisant à exercer une activité salariée en France,</w:t>
      </w:r>
    </w:p>
    <w:p w:rsidR="00082A59" w:rsidRDefault="00082A59">
      <w:r>
        <w:t>- qu'elle est d'une manière générale en règle avec toutes les obligations prescrites par les dispositions légales et réglementaires.</w:t>
      </w:r>
    </w:p>
    <w:p w:rsidR="00082A59" w:rsidRDefault="00082A59">
      <w:r>
        <w:t>2. M'engage à ce que l'association respecte ces obligations pendant toute la durée de ses relations contractuelles avec le laboratoire ..................................................................................</w:t>
      </w:r>
    </w:p>
    <w:p w:rsidR="00082A59" w:rsidRDefault="00082A59">
      <w:r>
        <w:t xml:space="preserve">3. M'engage à communiquer l'un des deux documents suivants (mentionnés à l'article R.324-4 du Code du travail) </w:t>
      </w:r>
    </w:p>
    <w:p w:rsidR="00082A59" w:rsidRDefault="00082A59">
      <w:r>
        <w:t>- une attestation de fourniture de déclarations sociales émanant de l'organisme de protection sociale chargé du recouvrement des cotisations sociales incombant au médecin et datant de moins d'un an,.29</w:t>
      </w:r>
    </w:p>
    <w:p w:rsidR="00082A59" w:rsidRDefault="00082A59">
      <w:r>
        <w:t>ou</w:t>
      </w:r>
    </w:p>
    <w:p w:rsidR="00082A59" w:rsidRDefault="00082A59">
      <w:r>
        <w:t>- un avis d'imposition à la taxe professionnelle de l'exercice précédent.</w:t>
      </w:r>
    </w:p>
    <w:p w:rsidR="00082A59" w:rsidRDefault="00082A59">
      <w:r>
        <w:t>Fait à .............................................</w:t>
      </w:r>
    </w:p>
    <w:p w:rsidR="00082A59" w:rsidRDefault="00082A59">
      <w:r>
        <w:t>Le ..................................................</w:t>
      </w:r>
    </w:p>
    <w:p w:rsidR="00082A59" w:rsidRDefault="00082A59">
      <w:pPr>
        <w:sectPr w:rsidR="00082A59">
          <w:pgSz w:w="11906" w:h="16838" w:code="9"/>
          <w:pgMar w:top="1418" w:right="1418" w:bottom="1418" w:left="1418" w:header="720" w:footer="720" w:gutter="0"/>
          <w:cols w:space="720"/>
        </w:sectPr>
      </w:pPr>
    </w:p>
    <w:p w:rsidR="00082A59" w:rsidRDefault="00082A59"/>
    <w:p w:rsidR="00082A59" w:rsidRDefault="00082A59">
      <w:r>
        <w:t>ANNEXE 3</w:t>
      </w:r>
    </w:p>
    <w:p w:rsidR="00082A59" w:rsidRDefault="00082A59"/>
    <w:p w:rsidR="00082A59" w:rsidRDefault="00082A59">
      <w:pPr>
        <w:pStyle w:val="Titre"/>
      </w:pPr>
      <w:r>
        <w:t>RECOMMANDATIONS POUR LA RÉDACTION DES CONTRATS</w:t>
      </w:r>
    </w:p>
    <w:p w:rsidR="00082A59" w:rsidRDefault="00082A59">
      <w:pPr>
        <w:pStyle w:val="Titre"/>
      </w:pPr>
      <w:r>
        <w:t>DIRECTS AVEC LES MÉDECINS</w:t>
      </w:r>
    </w:p>
    <w:p w:rsidR="00082A59" w:rsidRDefault="00082A59"/>
    <w:p w:rsidR="00082A59" w:rsidRDefault="00082A59">
      <w:r>
        <w:t>REMARQUES PRÉLIMINAIRES</w:t>
      </w:r>
    </w:p>
    <w:p w:rsidR="00082A59" w:rsidRDefault="00082A59"/>
    <w:p w:rsidR="00082A59" w:rsidRDefault="00082A59">
      <w:r>
        <w:t>L'objet de ce document est d'établir un certain nombre de recommandations minimales pour la signature des contrats directs avec les médecins.</w:t>
      </w:r>
    </w:p>
    <w:p w:rsidR="00082A59" w:rsidRDefault="00082A59">
      <w:r>
        <w:t>Ce document doit être utilisé en liaison avec l'étude principale dont il constitue l'annexe et intitulée "Aspects juridiques, fiscaux et sociaux des relations entre les praticiens et les laboratoires pharmaceutiques".</w:t>
      </w:r>
    </w:p>
    <w:p w:rsidR="00082A59" w:rsidRDefault="00082A59">
      <w:pPr>
        <w:pStyle w:val="Titre1"/>
      </w:pPr>
      <w:r>
        <w:t>OBJET DU CONTRAT</w:t>
      </w:r>
    </w:p>
    <w:p w:rsidR="00082A59" w:rsidRDefault="00082A59"/>
    <w:p w:rsidR="00082A59" w:rsidRDefault="00082A59">
      <w:r>
        <w:t>Il faut préciser ici de manière synthétique la nature de la prestation demandée, en renvoyant au protocole scientifique annexé au contrat qui détaille la prestation.</w:t>
      </w:r>
    </w:p>
    <w:p w:rsidR="00082A59" w:rsidRDefault="00082A59">
      <w:pPr>
        <w:pStyle w:val="Titre1"/>
      </w:pPr>
      <w:r>
        <w:t>OBLIGATIONS DES PARTIES</w:t>
      </w:r>
    </w:p>
    <w:p w:rsidR="00082A59" w:rsidRDefault="00082A59"/>
    <w:p w:rsidR="00082A59" w:rsidRDefault="00082A59">
      <w:r>
        <w:t>A minima doivent figurer dans le contrat les obligations incombant au promoteur et à l'investigateur telles qu'elles résultent notamment de la loi du 20 décembre 1988 sur la recherche biomédicale et des divers textes  réglementaires, tant nationaux qu'internationaux, également applicables à ces recherches.</w:t>
      </w:r>
    </w:p>
    <w:p w:rsidR="00082A59" w:rsidRDefault="00082A59">
      <w:pPr>
        <w:pStyle w:val="B1"/>
      </w:pPr>
      <w:r>
        <w:t>a) Obligations du promoteur</w:t>
      </w:r>
    </w:p>
    <w:p w:rsidR="00082A59" w:rsidRDefault="00082A59">
      <w:r>
        <w:t>En application du présent contrat, le promoteur assumera les obligations qui sont conférées par la loi du 20 décembre 1988, et qui sont notamment les suivantes :</w:t>
      </w:r>
    </w:p>
    <w:p w:rsidR="00082A59" w:rsidRDefault="00082A59">
      <w:pPr>
        <w:pStyle w:val="B2"/>
        <w:rPr>
          <w:lang w:val="fr-FR"/>
        </w:rPr>
      </w:pPr>
      <w:r>
        <w:rPr>
          <w:lang w:val="fr-FR"/>
        </w:rPr>
        <w:t xml:space="preserve"> Souscription d'une assurance garantissant sa responsabilité civile et celle de tout intervenant en application de l'article L. 209-7 ;</w:t>
      </w:r>
    </w:p>
    <w:p w:rsidR="00082A59" w:rsidRDefault="00082A59">
      <w:pPr>
        <w:pStyle w:val="B2"/>
        <w:rPr>
          <w:lang w:val="fr-FR"/>
        </w:rPr>
      </w:pPr>
      <w:r>
        <w:rPr>
          <w:lang w:val="fr-FR"/>
        </w:rPr>
        <w:t xml:space="preserve"> Envoi de la lettre d'intention au Ministère de la Santé (article L. 209-4°) ;</w:t>
      </w:r>
    </w:p>
    <w:p w:rsidR="00082A59" w:rsidRDefault="00082A59">
      <w:pPr>
        <w:pStyle w:val="B2"/>
        <w:rPr>
          <w:lang w:val="fr-FR"/>
        </w:rPr>
      </w:pPr>
      <w:r>
        <w:rPr>
          <w:lang w:val="fr-FR"/>
        </w:rPr>
        <w:t>Rédaction du document d'information du patient prévu par la loi ;</w:t>
      </w:r>
    </w:p>
    <w:p w:rsidR="00082A59" w:rsidRDefault="00082A59">
      <w:pPr>
        <w:pStyle w:val="B2"/>
        <w:rPr>
          <w:sz w:val="18"/>
          <w:szCs w:val="18"/>
          <w:lang w:val="fr-FR"/>
        </w:rPr>
      </w:pPr>
      <w:r>
        <w:rPr>
          <w:lang w:val="fr-FR"/>
        </w:rPr>
        <w:t>Information du Ministère de la Santé en cas de décès et effets secondaires substantiels (article L. 209-12-6°).</w:t>
      </w:r>
    </w:p>
    <w:p w:rsidR="00082A59" w:rsidRDefault="00082A59">
      <w:pPr>
        <w:pStyle w:val="B2"/>
        <w:rPr>
          <w:lang w:val="fr-FR"/>
        </w:rPr>
      </w:pPr>
      <w:r>
        <w:rPr>
          <w:lang w:val="fr-FR"/>
        </w:rPr>
        <w:t>Fourniture des médicaments en application des articles R. 5125 et R. 5126 ;</w:t>
      </w:r>
    </w:p>
    <w:p w:rsidR="00082A59" w:rsidRDefault="00082A59">
      <w:pPr>
        <w:pStyle w:val="B2"/>
        <w:rPr>
          <w:lang w:val="fr-FR"/>
        </w:rPr>
      </w:pPr>
      <w:r>
        <w:rPr>
          <w:lang w:val="fr-FR"/>
        </w:rPr>
        <w:t>Respect des dispositions de la loi relatives au lieu d'expérimentation (articles L. 209-12-5° et L. 209-18).</w:t>
      </w:r>
    </w:p>
    <w:p w:rsidR="00082A59" w:rsidRDefault="00082A59">
      <w:pPr>
        <w:pStyle w:val="B1"/>
      </w:pPr>
      <w:r>
        <w:t xml:space="preserve">b) Obligations incombant à l'investigateur </w:t>
      </w:r>
    </w:p>
    <w:p w:rsidR="00082A59" w:rsidRDefault="00082A59">
      <w:r>
        <w:t>En application du présent contrat, l'investigateur conformément à la loi du 20 décembre 1988 assumera notamment les obligations suivantes :</w:t>
      </w:r>
    </w:p>
    <w:p w:rsidR="00082A59" w:rsidRDefault="00082A59">
      <w:pPr>
        <w:pStyle w:val="B2"/>
      </w:pPr>
      <w:r>
        <w:rPr>
          <w:lang w:val="fr-FR"/>
        </w:rPr>
        <w:t xml:space="preserve">Vérification des conditions requises (appréciation de la nature de l'essai, expérimentations préalables suffisantes etc...) pour la réalisation de l'expérimentation. </w:t>
      </w:r>
      <w:r>
        <w:t>L'investigateur pourra demander des informations supplémentaires s'il s'estime insuffisamment informé.</w:t>
      </w:r>
    </w:p>
    <w:p w:rsidR="00082A59" w:rsidRDefault="00082A59">
      <w:pPr>
        <w:pStyle w:val="B2"/>
        <w:rPr>
          <w:lang w:val="fr-FR"/>
        </w:rPr>
      </w:pPr>
      <w:r>
        <w:rPr>
          <w:lang w:val="fr-FR"/>
        </w:rPr>
        <w:t>Mener à bonne fin l'expérimentation qui lui est confiée.</w:t>
      </w:r>
    </w:p>
    <w:p w:rsidR="00082A59" w:rsidRDefault="00082A59">
      <w:pPr>
        <w:pStyle w:val="B2"/>
        <w:rPr>
          <w:lang w:val="fr-FR"/>
        </w:rPr>
      </w:pPr>
      <w:r>
        <w:rPr>
          <w:lang w:val="fr-FR"/>
        </w:rPr>
        <w:t>Information et recueil du consentement préalable du patient (articles L. 209-9 et L. 209- 10).</w:t>
      </w:r>
    </w:p>
    <w:p w:rsidR="00082A59" w:rsidRDefault="00082A59">
      <w:pPr>
        <w:pStyle w:val="B2"/>
        <w:rPr>
          <w:lang w:val="fr-FR"/>
        </w:rPr>
      </w:pPr>
      <w:r>
        <w:rPr>
          <w:lang w:val="fr-FR"/>
        </w:rPr>
        <w:t>Vérification de l'affiliation directe ou  indirecte des sujets à un régime de sécurité sociale dans le cadre de la réalisation de recherches sans bénéfice individuel (article L. 209-16).</w:t>
      </w:r>
    </w:p>
    <w:p w:rsidR="00082A59" w:rsidRDefault="00082A59">
      <w:pPr>
        <w:pStyle w:val="B2"/>
        <w:rPr>
          <w:lang w:val="fr-FR"/>
        </w:rPr>
      </w:pPr>
      <w:r>
        <w:rPr>
          <w:lang w:val="fr-FR"/>
        </w:rPr>
        <w:t>Vérification du respect des périodes d'exclusion dans le cadre des recherches sans bénéfice individuel direct (article L. 209-17).</w:t>
      </w:r>
    </w:p>
    <w:p w:rsidR="00082A59" w:rsidRDefault="00082A59">
      <w:pPr>
        <w:pStyle w:val="B2"/>
        <w:rPr>
          <w:lang w:val="fr-FR"/>
        </w:rPr>
      </w:pPr>
      <w:r>
        <w:rPr>
          <w:lang w:val="fr-FR"/>
        </w:rPr>
        <w:t>Obligation de se conformer au code des bonnes pratiques cliniques et au protocole scientifique.</w:t>
      </w:r>
    </w:p>
    <w:p w:rsidR="00082A59" w:rsidRDefault="00082A59">
      <w:pPr>
        <w:pStyle w:val="B2"/>
        <w:rPr>
          <w:lang w:val="fr-FR"/>
        </w:rPr>
      </w:pPr>
      <w:r>
        <w:rPr>
          <w:lang w:val="fr-FR"/>
        </w:rPr>
        <w:t>Établissement du rapport prévu par l'article R. 5127.</w:t>
      </w:r>
    </w:p>
    <w:p w:rsidR="00082A59" w:rsidRDefault="00082A59">
      <w:pPr>
        <w:pStyle w:val="B2"/>
        <w:rPr>
          <w:lang w:val="fr-FR"/>
        </w:rPr>
      </w:pPr>
      <w:r>
        <w:rPr>
          <w:lang w:val="fr-FR"/>
        </w:rPr>
        <w:t>-Information du chef de service à l'hôpital.</w:t>
      </w:r>
    </w:p>
    <w:p w:rsidR="00082A59" w:rsidRDefault="00082A59">
      <w:pPr>
        <w:pStyle w:val="B2"/>
        <w:rPr>
          <w:lang w:val="fr-FR"/>
        </w:rPr>
      </w:pPr>
      <w:r>
        <w:rPr>
          <w:lang w:val="fr-FR"/>
        </w:rPr>
        <w:t>Envoi de son contrat au Directeur de l'hôpital en application de l'article L. 365-1 du Code de la Santé Publique.</w:t>
      </w:r>
    </w:p>
    <w:p w:rsidR="00082A59" w:rsidRDefault="00082A59">
      <w:pPr>
        <w:pStyle w:val="B2"/>
        <w:rPr>
          <w:lang w:val="fr-FR"/>
        </w:rPr>
      </w:pPr>
    </w:p>
    <w:p w:rsidR="00082A59" w:rsidRDefault="00082A59">
      <w:pPr>
        <w:pStyle w:val="Titre1"/>
      </w:pPr>
      <w:r>
        <w:t>DÉFINITION ET ÉTENDUE DES MOYENS MIS EN ŒUVRE</w:t>
      </w:r>
    </w:p>
    <w:p w:rsidR="00082A59" w:rsidRDefault="00082A59"/>
    <w:p w:rsidR="00082A59" w:rsidRDefault="00082A59">
      <w:r>
        <w:t>Dans le cadre de la mise en oeuvre du protocole, l'investigateur mènera librement et sous sa responsabilité scientifique les travaux faisant l'objet du contrat.</w:t>
      </w:r>
    </w:p>
    <w:p w:rsidR="00082A59" w:rsidRDefault="00082A59">
      <w:r>
        <w:t>Il lui appartiendra, pour la conduite de ceux-ci, de décider des moyens en personnels et matériels à mettre en oeuvre pour la réalisation de l'expérimentation conformément à la loi.</w:t>
      </w:r>
    </w:p>
    <w:p w:rsidR="00082A59" w:rsidRDefault="00082A59">
      <w:pPr>
        <w:pStyle w:val="Titre1"/>
      </w:pPr>
    </w:p>
    <w:p w:rsidR="00082A59" w:rsidRDefault="00082A59">
      <w:pPr>
        <w:pStyle w:val="Titre1"/>
      </w:pPr>
      <w:r>
        <w:tab/>
        <w:t>4) PRIX ET MODALITÉS DE  RÈGLEMENT</w:t>
      </w:r>
    </w:p>
    <w:p w:rsidR="00082A59" w:rsidRDefault="00082A59">
      <w:pPr>
        <w:tabs>
          <w:tab w:val="left" w:pos="426"/>
        </w:tabs>
      </w:pPr>
    </w:p>
    <w:p w:rsidR="00082A59" w:rsidRDefault="00082A59">
      <w:pPr>
        <w:pStyle w:val="B3"/>
        <w:numPr>
          <w:ilvl w:val="0"/>
          <w:numId w:val="0"/>
        </w:numPr>
        <w:tabs>
          <w:tab w:val="left" w:pos="426"/>
        </w:tabs>
        <w:ind w:left="1134"/>
        <w:rPr>
          <w:lang w:val="fr-FR"/>
        </w:rPr>
      </w:pPr>
      <w:r>
        <w:rPr>
          <w:lang w:val="fr-FR"/>
        </w:rPr>
        <w:t>a) Honoraires en numéraire</w:t>
      </w:r>
    </w:p>
    <w:p w:rsidR="00082A59" w:rsidRDefault="00082A59">
      <w:pPr>
        <w:tabs>
          <w:tab w:val="left" w:pos="426"/>
        </w:tabs>
      </w:pPr>
      <w:r>
        <w:t>A l'achèvement des travaux, l'investigateur transmettra au promoteur une note d'honoraires en bonne et due forme incluant ses frais éventuels.</w:t>
      </w:r>
    </w:p>
    <w:p w:rsidR="00082A59" w:rsidRDefault="00082A59">
      <w:pPr>
        <w:tabs>
          <w:tab w:val="left" w:pos="426"/>
        </w:tabs>
      </w:pPr>
      <w:r>
        <w:t>En application de l'article L. 324-14 du Code du Travail, pour tout contrat supérieur à 20.000 F, l'investigateur fournira, préalablement à la conclusion du contrat :</w:t>
      </w:r>
    </w:p>
    <w:p w:rsidR="00082A59" w:rsidRDefault="00082A59">
      <w:pPr>
        <w:pStyle w:val="B2"/>
        <w:tabs>
          <w:tab w:val="left" w:pos="426"/>
        </w:tabs>
        <w:rPr>
          <w:lang w:val="fr-FR"/>
        </w:rPr>
      </w:pPr>
      <w:r>
        <w:rPr>
          <w:lang w:val="fr-FR"/>
        </w:rPr>
        <w:t>une attestation de fourniture de déclarations sociales émanant de l'organisme de protection sociale chargé du recouvrement des cotisations sociales lui incombant et datant de moins d'un an, ou un avis d'imposition à la taxe professionnelle de l'exercice précédent ;</w:t>
      </w:r>
    </w:p>
    <w:p w:rsidR="00082A59" w:rsidRDefault="00082A59">
      <w:pPr>
        <w:pStyle w:val="B2"/>
        <w:tabs>
          <w:tab w:val="left" w:pos="426"/>
        </w:tabs>
        <w:rPr>
          <w:lang w:val="fr-FR"/>
        </w:rPr>
      </w:pPr>
      <w:r>
        <w:rPr>
          <w:lang w:val="fr-FR"/>
        </w:rPr>
        <w:t>si le médecin emploie des salariés, une attestation sur l'honneur certifiant que le</w:t>
      </w:r>
    </w:p>
    <w:p w:rsidR="00082A59" w:rsidRDefault="00082A59">
      <w:pPr>
        <w:tabs>
          <w:tab w:val="left" w:pos="426"/>
        </w:tabs>
        <w:ind w:left="1134"/>
      </w:pPr>
      <w:r>
        <w:t>travail sera réalisé avec des salariés employés</w:t>
      </w:r>
      <w:r>
        <w:rPr>
          <w:sz w:val="18"/>
          <w:szCs w:val="18"/>
        </w:rPr>
        <w:t xml:space="preserve"> </w:t>
      </w:r>
      <w:r>
        <w:t>régulièrement au regard notamment des articles L. 143-3, L. 143 5 et L. 620-3 du Code du Travail.</w:t>
      </w:r>
    </w:p>
    <w:p w:rsidR="00082A59" w:rsidRDefault="00082A59">
      <w:pPr>
        <w:tabs>
          <w:tab w:val="left" w:pos="426"/>
        </w:tabs>
      </w:pPr>
      <w:r>
        <w:t>Pour tout contrat inférieur à 20.000 F, l'investigateur attestera sur l'honneur qu'il est régulièrement immatriculé comme travailleur indépendant et qu'il fera son affaire de l'ensemble des obligations et formalités lui incombant à ce titre sur un plan fiscal et social. b) Rétrocession d'honoraires</w:t>
      </w:r>
    </w:p>
    <w:p w:rsidR="00082A59" w:rsidRDefault="00082A59">
      <w:pPr>
        <w:tabs>
          <w:tab w:val="left" w:pos="426"/>
        </w:tabs>
      </w:pPr>
      <w:r>
        <w:t>En cas de rétrocession d'honoraires par l'investigateur à des praticiens dans le cadre de l'exécution du présent contrat, l'investigateur s'engage à respecter les obligations déclaratives découlant de l'article 240 du Code Général des Impôts (déclaration DAS 2) et à faire en sorte que les dispositions de la présente clause soient mises en œuvre par les bénéficiaires de la rétrocession.</w:t>
      </w:r>
    </w:p>
    <w:p w:rsidR="00082A59" w:rsidRDefault="00082A59">
      <w:pPr>
        <w:tabs>
          <w:tab w:val="left" w:pos="426"/>
        </w:tabs>
      </w:pPr>
      <w:r>
        <w:t>Les exigences en matière sociale (immatriculation) sont les mêmes que pour le versement direct d'honoraires.</w:t>
      </w:r>
    </w:p>
    <w:p w:rsidR="00082A59" w:rsidRDefault="00082A59">
      <w:pPr>
        <w:pStyle w:val="B2"/>
        <w:numPr>
          <w:ilvl w:val="0"/>
          <w:numId w:val="0"/>
        </w:numPr>
        <w:tabs>
          <w:tab w:val="left" w:pos="426"/>
        </w:tabs>
        <w:ind w:left="851"/>
        <w:rPr>
          <w:lang w:val="fr-FR"/>
        </w:rPr>
      </w:pPr>
      <w:r>
        <w:rPr>
          <w:lang w:val="fr-FR"/>
        </w:rPr>
        <w:tab/>
        <w:t>c) Honoraires en nature</w:t>
      </w:r>
    </w:p>
    <w:p w:rsidR="00082A59" w:rsidRDefault="00082A59">
      <w:pPr>
        <w:tabs>
          <w:tab w:val="left" w:pos="426"/>
        </w:tabs>
      </w:pPr>
      <w:r>
        <w:t>En cas de versement d'honoraires en nature, une valorisation sera effectuée dans le contrat.</w:t>
      </w:r>
    </w:p>
    <w:p w:rsidR="00082A59" w:rsidRDefault="00082A59">
      <w:pPr>
        <w:tabs>
          <w:tab w:val="left" w:pos="426"/>
        </w:tabs>
      </w:pPr>
      <w:r>
        <w:t>Par ailleurs, les exigences en matière sociale (immatriculation) sont les mêmes que pour le versement direct d'honoraires.</w:t>
      </w:r>
    </w:p>
    <w:p w:rsidR="00082A59" w:rsidRDefault="00082A59">
      <w:pPr>
        <w:pStyle w:val="Titre1"/>
      </w:pPr>
    </w:p>
    <w:p w:rsidR="00082A59" w:rsidRDefault="00082A59">
      <w:pPr>
        <w:pStyle w:val="Titre1"/>
      </w:pPr>
      <w:r>
        <w:t>ARTICLE L. 365-1 DU CODE DE LA SANTÉ PUBLIQUE</w:t>
      </w:r>
    </w:p>
    <w:p w:rsidR="00082A59" w:rsidRDefault="00082A59">
      <w:pPr>
        <w:ind w:left="360"/>
      </w:pPr>
    </w:p>
    <w:p w:rsidR="00082A59" w:rsidRDefault="00082A59">
      <w:r>
        <w:t>Le promoteur s'engage à transmettre le contrat à l'Ordre professionnel concerné, préalablement à sa mise en oeuvre, et informer l'investigateur de l'avis de l'Ordre lorsqu'il aura été rendu.</w:t>
      </w:r>
    </w:p>
    <w:p w:rsidR="00082A59" w:rsidRDefault="00082A59">
      <w:r>
        <w:t>Le montant de la rémunération prévue au contrat pourra le cas échéant être modifié suite à l'avis de l'Ordre.</w:t>
      </w:r>
    </w:p>
    <w:p w:rsidR="00082A59" w:rsidRDefault="00082A59">
      <w:r>
        <w:t>L'investigateur s'engage à transmettre le contrat et l'avis de l'Ordre National pour information au Conseil départemental dont il dépend (article L. 462 du Code de la Santé</w:t>
      </w:r>
    </w:p>
    <w:p w:rsidR="00082A59" w:rsidRDefault="00082A59">
      <w:r>
        <w:t>Publique).</w:t>
      </w:r>
    </w:p>
    <w:p w:rsidR="00082A59" w:rsidRDefault="00082A59">
      <w:pPr>
        <w:pStyle w:val="Titre1"/>
      </w:pPr>
    </w:p>
    <w:p w:rsidR="00082A59" w:rsidRDefault="00082A59">
      <w:pPr>
        <w:pStyle w:val="Titre1"/>
      </w:pPr>
      <w:r>
        <w:tab/>
        <w:t>6) ASSURANCE</w:t>
      </w:r>
    </w:p>
    <w:p w:rsidR="00082A59" w:rsidRDefault="00082A59">
      <w:r>
        <w:t>En application de l'article L. 209-7 de la loi du 20 décembre 1988, et du décret d'application n° 91-440 du 14 mai 1991, le promoteur s'engage à souscrire une assurance garantissant sa responsabilité civile et celle des intervenants.</w:t>
      </w:r>
    </w:p>
    <w:p w:rsidR="00082A59" w:rsidRDefault="00082A59">
      <w:r>
        <w:t>L'investigateur souscrira pour sa part une assurance garantissant sa responsabilité contractuelle ainsi qu'une assurance couvrant sa responsabilité civile professionnelle résiduelle en qualité d'investigateur.</w:t>
      </w:r>
    </w:p>
    <w:p w:rsidR="00082A59" w:rsidRDefault="00082A59"/>
    <w:p w:rsidR="00082A59" w:rsidRDefault="00082A59">
      <w:pPr>
        <w:pStyle w:val="Titre1"/>
      </w:pPr>
      <w:r>
        <w:tab/>
        <w:t>7) CLAUSES DIVERSES</w:t>
      </w:r>
    </w:p>
    <w:p w:rsidR="00082A59" w:rsidRDefault="00082A59"/>
    <w:p w:rsidR="00082A59" w:rsidRDefault="00082A59">
      <w:r>
        <w:t>Il conviendra, par ailleurs, d'intégrer les clauses usuelles à ce type de contrats, telles les clauses de confidentialité, propriété des résultats, publications, arrêt anticipé de la recherche etc...</w:t>
      </w:r>
    </w:p>
    <w:p w:rsidR="00082A59" w:rsidRDefault="00082A59">
      <w:pPr>
        <w:sectPr w:rsidR="00082A59">
          <w:pgSz w:w="11906" w:h="16838" w:code="9"/>
          <w:pgMar w:top="1418" w:right="1418" w:bottom="1418" w:left="1418" w:header="720" w:footer="720" w:gutter="0"/>
          <w:cols w:space="720"/>
        </w:sectPr>
      </w:pPr>
    </w:p>
    <w:p w:rsidR="00082A59" w:rsidRDefault="00082A59"/>
    <w:p w:rsidR="00082A59" w:rsidRDefault="00082A59">
      <w:r>
        <w:t>ANNEXE 4</w:t>
      </w:r>
    </w:p>
    <w:p w:rsidR="00082A59" w:rsidRDefault="00082A59"/>
    <w:p w:rsidR="00082A59" w:rsidRDefault="00082A59"/>
    <w:p w:rsidR="00082A59" w:rsidRDefault="00082A59">
      <w:pPr>
        <w:pStyle w:val="Titre1"/>
      </w:pPr>
      <w:r>
        <w:t>RECOMMANDATIONS POUR LA RÉDACTION DES STATUTS D'ASSOCIATIONS DE RECHERCHE</w:t>
      </w:r>
    </w:p>
    <w:p w:rsidR="00082A59" w:rsidRDefault="00082A59"/>
    <w:p w:rsidR="00082A59" w:rsidRDefault="00082A59"/>
    <w:p w:rsidR="00082A59" w:rsidRDefault="00082A59">
      <w:pPr>
        <w:ind w:left="0"/>
      </w:pPr>
      <w:r>
        <w:t>Les recherches biomédicales réalisées par une association, à la demande d’ un laboratoire pharmaceutique, ne peuvent être confiées qu’ à des associations régies par la loi du 1</w:t>
      </w:r>
      <w:r>
        <w:rPr>
          <w:vertAlign w:val="superscript"/>
        </w:rPr>
        <w:t>er</w:t>
      </w:r>
      <w:r>
        <w:t xml:space="preserve"> juillet 1901 et le décret du 16 août 1901, dont l’ objet, les moyens d’ actions, les ressources permettent à l’ association de réaliser les recherches confiées par le Promoteur, de facturer des prestations de services et d’ utiliser, en toute légalité, les fonds qui lui sont versés.</w:t>
      </w:r>
    </w:p>
    <w:p w:rsidR="00082A59" w:rsidRDefault="00082A59">
      <w:pPr>
        <w:ind w:left="0"/>
      </w:pPr>
      <w:r>
        <w:t>Aujourd’ hui, il n’ existe pas à proprement parler de "statuts types" d’ association loi 1901. Toutefois, il est possible de se procurer au Journal Officiel, dans certaines préfectures ou dans des librairies spécialisées, des modèles de statuts d’ association loi 1901.</w:t>
      </w:r>
    </w:p>
    <w:p w:rsidR="00082A59" w:rsidRDefault="00082A59">
      <w:pPr>
        <w:ind w:left="0"/>
      </w:pPr>
      <w:r>
        <w:t>Ces modèles, très généraux, ne prennent pas en compte les spécificités liées à l’ activité de recherche dans le domaine de la Santé. Les modèles de statuts doivent donc être modifiés pour tenir compte des aspects particuliers de la recherche.</w:t>
      </w:r>
    </w:p>
    <w:p w:rsidR="00082A59" w:rsidRDefault="00082A59">
      <w:pPr>
        <w:ind w:left="0"/>
      </w:pPr>
      <w:r>
        <w:t>La présente note a pour but de résumer les spécificités des statuts d'associations dites “ de recherche ”.</w:t>
      </w:r>
    </w:p>
    <w:p w:rsidR="00082A59" w:rsidRDefault="00082A59">
      <w:pPr>
        <w:ind w:left="0"/>
      </w:pPr>
    </w:p>
    <w:p w:rsidR="00082A59" w:rsidRDefault="00082A59">
      <w:pPr>
        <w:pStyle w:val="Titre1"/>
      </w:pPr>
      <w:r>
        <w:t>1 - OBJET SOCIAL</w:t>
      </w:r>
    </w:p>
    <w:p w:rsidR="00082A59" w:rsidRDefault="00082A59"/>
    <w:p w:rsidR="00082A59" w:rsidRDefault="00082A59">
      <w:pPr>
        <w:ind w:left="0"/>
      </w:pPr>
      <w:r>
        <w:t xml:space="preserve">L’ objet social d’ une association décrit de manière générale la raison pour laquelle cette association a été créée et les buts qu’ elle poursuit. L’ objet social constitue un véritable pacte social entre les membres qui s’ engagent à le respecter lorsqu’ ils adhèrent à l’ association. L’ objet social fixe le cadre général de l’ action de l’ association. </w:t>
      </w:r>
    </w:p>
    <w:p w:rsidR="00082A59" w:rsidRDefault="00082A59">
      <w:pPr>
        <w:ind w:left="0"/>
      </w:pPr>
      <w:r>
        <w:t>S'agissant d’ association à but de recherche dans le domaine de la santé, l’ objet social doit préciser que l’ association a pour objet de réaliser et/ou peut réaliser des recherches biomédicales, études épidémiologiques ou autres.</w:t>
      </w:r>
    </w:p>
    <w:p w:rsidR="00082A59" w:rsidRDefault="00082A59">
      <w:pPr>
        <w:ind w:left="0"/>
      </w:pPr>
      <w:r>
        <w:t>Dès lors, il est souhaitable que l’ objet social de l’ association soit suffisamment large, tout en se concentrant sur des objectifs de recherche, pour ne pas être limité dans le type de prestations que pourrait réaliser l’ association.</w:t>
      </w:r>
    </w:p>
    <w:p w:rsidR="00082A59" w:rsidRDefault="00082A59">
      <w:pPr>
        <w:ind w:left="0"/>
      </w:pPr>
      <w:r>
        <w:t>Le cas échéant, il peut être utile que les statuts précisent les pathologies ou les domaines thérapeutiques dans lesquels l'association s'est spécialisée.</w:t>
      </w:r>
    </w:p>
    <w:p w:rsidR="00082A59" w:rsidRDefault="00082A59">
      <w:pPr>
        <w:ind w:left="0"/>
      </w:pPr>
      <w:r>
        <w:t>L’ objet social d’ une association à vocation de recherche pourrait être :</w:t>
      </w:r>
    </w:p>
    <w:p w:rsidR="00082A59" w:rsidRDefault="00082A59">
      <w:pPr>
        <w:ind w:left="0"/>
      </w:pPr>
    </w:p>
    <w:p w:rsidR="00082A59" w:rsidRDefault="00082A59">
      <w:pPr>
        <w:pStyle w:val="Titre1"/>
      </w:pPr>
      <w:r>
        <w:t>ARTICLE...OBJET :</w:t>
      </w:r>
    </w:p>
    <w:p w:rsidR="00082A59" w:rsidRDefault="00082A59"/>
    <w:p w:rsidR="00082A59" w:rsidRDefault="00082A59">
      <w:pPr>
        <w:ind w:left="0"/>
      </w:pPr>
      <w:r>
        <w:t>L'Association a pour objet de mettre en oeuvre, de réaliser et de promouvoir toute</w:t>
      </w:r>
      <w:r>
        <w:rPr>
          <w:sz w:val="18"/>
          <w:szCs w:val="18"/>
        </w:rPr>
        <w:t xml:space="preserve"> </w:t>
      </w:r>
      <w:r>
        <w:t>recherche, en santé publique notamment toutes recherches biomédicales, épidémiologiques, pharmacologiques dans le domaine de ..... (le cas échéant, préciser la pathologie), notamment sous forme de prestations de services, toutes actions éducatives et/ou informatives destinées au corps médical et aux patients pour un meilleur diagnostic et une meilleure prise en charge globale de la maladie. L’ Association étend ses activités aux malades et leur entourage pour améliorer la prévention et favoriser une bonne prise en charge de leur maladie.</w:t>
      </w:r>
    </w:p>
    <w:p w:rsidR="00082A59" w:rsidRDefault="00082A59">
      <w:pPr>
        <w:ind w:left="0"/>
      </w:pPr>
    </w:p>
    <w:p w:rsidR="00082A59" w:rsidRDefault="00082A59">
      <w:pPr>
        <w:pStyle w:val="Titre1"/>
      </w:pPr>
      <w:r>
        <w:t>2 - MOYENS D’ ACTION</w:t>
      </w:r>
    </w:p>
    <w:p w:rsidR="00082A59" w:rsidRDefault="00082A59"/>
    <w:p w:rsidR="00082A59" w:rsidRDefault="00082A59">
      <w:pPr>
        <w:ind w:left="0"/>
      </w:pPr>
      <w:r>
        <w:t>Dans les statuts d’ association loi 1901, il est  fréquent (bien que non obligatoire) que des dispositions spécifiques viennent préciser les moyens d’ action que l’ association entend adopter afin de mettre en oeuvre l’ objet et/ou les buts qui figurent en tête des statuts.</w:t>
      </w:r>
    </w:p>
    <w:p w:rsidR="00082A59" w:rsidRDefault="00082A59">
      <w:pPr>
        <w:ind w:left="0"/>
      </w:pPr>
      <w:r>
        <w:t>En ce qui concerne les associations à vocation de recherche, les moyens d’ actions doivent être décrits de manière suffisamment large pour ne pas limiter le champ d’ intervention de l’ association à un seul type de recherches ou un seul type d’ expérimentation.</w:t>
      </w:r>
    </w:p>
    <w:p w:rsidR="00082A59" w:rsidRDefault="00082A59">
      <w:pPr>
        <w:ind w:left="0"/>
      </w:pPr>
      <w:r>
        <w:t>A titre d’ exemple, la rédaction d’ un article “ Moyens d’ actions ” pourrait être :</w:t>
      </w:r>
    </w:p>
    <w:p w:rsidR="00082A59" w:rsidRDefault="00082A59">
      <w:pPr>
        <w:ind w:left="0"/>
        <w:sectPr w:rsidR="00082A59">
          <w:pgSz w:w="11906" w:h="16838" w:code="9"/>
          <w:pgMar w:top="1418" w:right="1418" w:bottom="1418" w:left="1418" w:header="720" w:footer="720" w:gutter="0"/>
          <w:cols w:space="720"/>
        </w:sectPr>
      </w:pPr>
    </w:p>
    <w:p w:rsidR="00082A59" w:rsidRDefault="00082A59">
      <w:pPr>
        <w:ind w:left="0"/>
      </w:pPr>
    </w:p>
    <w:p w:rsidR="00082A59" w:rsidRDefault="00082A59">
      <w:pPr>
        <w:pStyle w:val="Titre1"/>
      </w:pPr>
      <w:r>
        <w:t>ARTICLE... MOYENS D’ACTION :</w:t>
      </w:r>
    </w:p>
    <w:p w:rsidR="00082A59" w:rsidRDefault="00082A59"/>
    <w:p w:rsidR="00082A59" w:rsidRDefault="00082A59">
      <w:pPr>
        <w:ind w:left="0"/>
      </w:pPr>
      <w:r>
        <w:t>Les moyens d’ action de l’ Association sont notamment :</w:t>
      </w:r>
    </w:p>
    <w:p w:rsidR="00082A59" w:rsidRDefault="00082A59">
      <w:pPr>
        <w:pStyle w:val="B2"/>
        <w:rPr>
          <w:lang w:val="fr-FR"/>
        </w:rPr>
      </w:pPr>
      <w:r>
        <w:rPr>
          <w:lang w:val="fr-FR"/>
        </w:rPr>
        <w:t>la conception, la mise en oeuvre et la réalisation de recherches biomédicales ;</w:t>
      </w:r>
    </w:p>
    <w:p w:rsidR="00082A59" w:rsidRDefault="00082A59">
      <w:pPr>
        <w:pStyle w:val="B2"/>
        <w:rPr>
          <w:lang w:val="fr-FR"/>
        </w:rPr>
      </w:pPr>
      <w:r>
        <w:rPr>
          <w:lang w:val="fr-FR"/>
        </w:rPr>
        <w:t>la conception, la mise en oeuvre et la réalisation de recherches ou d’ études épidémiologiques ;</w:t>
      </w:r>
    </w:p>
    <w:p w:rsidR="00082A59" w:rsidRDefault="00082A59">
      <w:pPr>
        <w:pStyle w:val="B2"/>
        <w:rPr>
          <w:lang w:val="fr-FR"/>
        </w:rPr>
      </w:pPr>
      <w:r>
        <w:rPr>
          <w:lang w:val="fr-FR"/>
        </w:rPr>
        <w:t>l’ acquisition et l’ utilisation des moyens techniques nécessaires à la réalisation des recherches et études décrites ci-dessus ;</w:t>
      </w:r>
    </w:p>
    <w:p w:rsidR="00082A59" w:rsidRDefault="00082A59">
      <w:pPr>
        <w:pStyle w:val="B2"/>
        <w:rPr>
          <w:lang w:val="fr-FR"/>
        </w:rPr>
      </w:pPr>
      <w:r>
        <w:rPr>
          <w:lang w:val="fr-FR"/>
        </w:rPr>
        <w:t>la conception et la mise en oeuvre de programmes de formation tant à destination des médecins que des patients ;</w:t>
      </w:r>
    </w:p>
    <w:p w:rsidR="00082A59" w:rsidRDefault="00082A59">
      <w:pPr>
        <w:pStyle w:val="B2"/>
        <w:rPr>
          <w:lang w:val="fr-FR"/>
        </w:rPr>
      </w:pPr>
      <w:r>
        <w:rPr>
          <w:lang w:val="fr-FR"/>
        </w:rPr>
        <w:t>la mise en oeuvre d’ actions de communication et notamment l’ organisation des congrès médicaux et scientifiques, la réalisation de films, l’ édition de brochures et ouvrages divers ... ;</w:t>
      </w:r>
    </w:p>
    <w:p w:rsidR="00082A59" w:rsidRDefault="00082A59">
      <w:pPr>
        <w:pStyle w:val="B2"/>
        <w:rPr>
          <w:lang w:val="fr-FR"/>
        </w:rPr>
      </w:pPr>
      <w:r>
        <w:rPr>
          <w:lang w:val="fr-FR"/>
        </w:rPr>
        <w:t>la participation à des congrès médicaux et scientifiques ; et plus généralement l’ ensemble des moyens et actions permettant la réalisation de l’ objet de l’ Association, dans le strict respect des lois et règlements en vigueur.</w:t>
      </w:r>
    </w:p>
    <w:p w:rsidR="00082A59" w:rsidRDefault="00082A59">
      <w:pPr>
        <w:pStyle w:val="B2"/>
        <w:rPr>
          <w:lang w:val="fr-FR"/>
        </w:rPr>
      </w:pPr>
    </w:p>
    <w:p w:rsidR="00082A59" w:rsidRDefault="00082A59">
      <w:pPr>
        <w:pStyle w:val="Titre1"/>
      </w:pPr>
      <w:r>
        <w:t>3- RESSOURCES DE L’ ASSOCIATION</w:t>
      </w:r>
    </w:p>
    <w:p w:rsidR="00082A59" w:rsidRDefault="00082A59"/>
    <w:p w:rsidR="00082A59" w:rsidRDefault="00082A59">
      <w:pPr>
        <w:ind w:left="0"/>
      </w:pPr>
      <w:r>
        <w:t>Les statuts d’ une association régie par la loi 1901 doivent préciser le type de ressources financières dont peut disposer l’ association pour la réalisation de son objet social.</w:t>
      </w:r>
    </w:p>
    <w:p w:rsidR="00082A59" w:rsidRDefault="00082A59">
      <w:pPr>
        <w:ind w:left="0"/>
      </w:pPr>
      <w:r>
        <w:t>Il est souhaitable de prévoir largement les ressources dont peut disposer l’ association, afin de ne pas exclure la possibilité pour l’ association de recevoir un type de ressources particulier.</w:t>
      </w:r>
    </w:p>
    <w:p w:rsidR="00082A59" w:rsidRDefault="00082A59">
      <w:pPr>
        <w:ind w:left="0"/>
      </w:pPr>
      <w:r>
        <w:t>Seules les ressources limitativement mentionnées dans les statuts pourront être encaissées et utilisées par l’ association.</w:t>
      </w:r>
    </w:p>
    <w:p w:rsidR="00082A59" w:rsidRDefault="00082A59">
      <w:pPr>
        <w:ind w:left="0"/>
      </w:pPr>
      <w:r>
        <w:t>La rédaction d’ un article sur les ressources de l’ association pourrait être :</w:t>
      </w:r>
    </w:p>
    <w:p w:rsidR="00082A59" w:rsidRDefault="00082A59">
      <w:pPr>
        <w:ind w:left="0"/>
      </w:pPr>
    </w:p>
    <w:p w:rsidR="00082A59" w:rsidRDefault="00082A59">
      <w:pPr>
        <w:pStyle w:val="Titre1"/>
      </w:pPr>
      <w:r>
        <w:t>ARTICLE ... RESSOURCES DE L'ASSOCIATION :</w:t>
      </w:r>
    </w:p>
    <w:p w:rsidR="00082A59" w:rsidRDefault="00082A59"/>
    <w:p w:rsidR="00082A59" w:rsidRDefault="00082A59">
      <w:pPr>
        <w:ind w:left="0"/>
      </w:pPr>
      <w:r>
        <w:t>Les ressources de l'Association se composent :</w:t>
      </w:r>
    </w:p>
    <w:p w:rsidR="00082A59" w:rsidRDefault="00082A59">
      <w:pPr>
        <w:pStyle w:val="B2"/>
        <w:rPr>
          <w:lang w:val="fr-FR"/>
        </w:rPr>
      </w:pPr>
      <w:r>
        <w:rPr>
          <w:lang w:val="fr-FR"/>
        </w:rPr>
        <w:t>des cotisations, droits d'entrée et de soutien ;</w:t>
      </w:r>
    </w:p>
    <w:p w:rsidR="00082A59" w:rsidRDefault="00082A59">
      <w:pPr>
        <w:pStyle w:val="B2"/>
        <w:rPr>
          <w:lang w:val="fr-FR"/>
        </w:rPr>
      </w:pPr>
      <w:r>
        <w:rPr>
          <w:lang w:val="fr-FR"/>
        </w:rPr>
        <w:t>des subventions de l'État, des collectivités territoriales, des établissements publics ou privés ;</w:t>
      </w:r>
    </w:p>
    <w:p w:rsidR="00082A59" w:rsidRDefault="00082A59">
      <w:pPr>
        <w:pStyle w:val="B2"/>
        <w:rPr>
          <w:lang w:val="fr-FR"/>
        </w:rPr>
      </w:pPr>
      <w:r>
        <w:rPr>
          <w:lang w:val="fr-FR"/>
        </w:rPr>
        <w:t>des dons manuels ;</w:t>
      </w:r>
    </w:p>
    <w:p w:rsidR="00082A59" w:rsidRDefault="00082A59">
      <w:pPr>
        <w:pStyle w:val="B2"/>
        <w:rPr>
          <w:lang w:val="fr-FR"/>
        </w:rPr>
      </w:pPr>
      <w:r>
        <w:rPr>
          <w:lang w:val="fr-FR"/>
        </w:rPr>
        <w:t>des produits de rétributions éventuelles perçues pour services rendus à des membres ou à des tiers ;</w:t>
      </w:r>
    </w:p>
    <w:p w:rsidR="00082A59" w:rsidRDefault="00082A59">
      <w:pPr>
        <w:pStyle w:val="B2"/>
        <w:rPr>
          <w:lang w:val="fr-FR"/>
        </w:rPr>
      </w:pPr>
      <w:r>
        <w:rPr>
          <w:lang w:val="fr-FR"/>
        </w:rPr>
        <w:t>des rémunérations reçues en contrepartie de la réalisation de prestations de services conformes au but de l’ Association ;</w:t>
      </w:r>
    </w:p>
    <w:p w:rsidR="00082A59" w:rsidRDefault="00082A59">
      <w:pPr>
        <w:pStyle w:val="B2"/>
        <w:rPr>
          <w:lang w:val="fr-FR"/>
        </w:rPr>
      </w:pPr>
      <w:r>
        <w:rPr>
          <w:lang w:val="fr-FR"/>
        </w:rPr>
        <w:t>de toutes autres ressources autorisées par les lois et règlements.</w:t>
      </w:r>
    </w:p>
    <w:p w:rsidR="00082A59" w:rsidRDefault="00082A59">
      <w:pPr>
        <w:pStyle w:val="B2"/>
        <w:numPr>
          <w:ilvl w:val="0"/>
          <w:numId w:val="0"/>
        </w:numPr>
        <w:ind w:left="1134" w:hanging="283"/>
        <w:rPr>
          <w:lang w:val="fr-FR"/>
        </w:rPr>
      </w:pPr>
    </w:p>
    <w:p w:rsidR="00082A59" w:rsidRDefault="00082A59">
      <w:pPr>
        <w:pStyle w:val="Titre1"/>
      </w:pPr>
      <w:r>
        <w:t>4 - GESTION FINANCIÈRE</w:t>
      </w:r>
    </w:p>
    <w:p w:rsidR="00082A59" w:rsidRDefault="00082A59"/>
    <w:p w:rsidR="00082A59" w:rsidRDefault="00082A59">
      <w:pPr>
        <w:ind w:left="0"/>
      </w:pPr>
      <w:r>
        <w:t>En complément des dispositions relatives aux ressources de l’ association, il est souhaitable que les statuts, dans un souci de transparence, précisent la manière dont seront gérés et utilisés les fonds de l’ association.</w:t>
      </w:r>
    </w:p>
    <w:p w:rsidR="00082A59" w:rsidRDefault="00082A59">
      <w:pPr>
        <w:ind w:left="0"/>
      </w:pPr>
      <w:r>
        <w:t>A ce titre, il est rappelé que les fonds reçus par l’ association, doivent être utilisés conformément à l’ objet social de l’ association. Les fonds reçus ne sont pas destinés à couvrir des dépenses privées ou des frais professionnels non liés à l’ objet de l’ association exposés par les membres de cette dernière.</w:t>
      </w:r>
    </w:p>
    <w:p w:rsidR="00082A59" w:rsidRDefault="00082A59">
      <w:pPr>
        <w:ind w:left="0"/>
      </w:pPr>
      <w:r>
        <w:t>Il peut être utile de prévoir également dans les statuts les limitations éventuelles des pouvoirs de signature des organes susceptibles d'engager l'association (notamment le Président et le Trésorier).</w:t>
      </w:r>
    </w:p>
    <w:p w:rsidR="00082A59" w:rsidRDefault="00082A59">
      <w:pPr>
        <w:ind w:left="0"/>
      </w:pPr>
      <w:r>
        <w:t>Conformément à l'article 27 de la loi du 1er mars 1984 relative à la prévention et au règlement amiable des difficultés des entreprises, les associations d'une "certaine taille" sont tenues de désigner au moins un commissaire aux comptes et un suppléant. Il s'agit de celles qui dépassent, à la fin de l'année civile ou à la clôture de l'exercice, deux des trois critères suivants : 50 salariés ou 20 millions de chiffres d'affaires (ou de ressources) ou 10 millions de francs de total du bilan.</w:t>
      </w:r>
    </w:p>
    <w:p w:rsidR="00082A59" w:rsidRDefault="00082A59">
      <w:pPr>
        <w:ind w:left="0"/>
      </w:pPr>
      <w:r>
        <w:t>Par ailleurs, les associations bénéficiant d'une aide publique annuelle supérieure à un million de francs doivent nommer un commissaire aux comptes.</w:t>
      </w:r>
    </w:p>
    <w:p w:rsidR="00082A59" w:rsidRDefault="00082A59">
      <w:pPr>
        <w:ind w:left="0"/>
      </w:pPr>
      <w:r>
        <w:t>Cependant, même si elle n'y est pas légalement ou administrativement tenue, une association peut néanmoins avoir intérêt à désigner un commissaire aux comptes qui assurera la crédibilité de ses comptes au travers de leur certification.</w:t>
      </w:r>
    </w:p>
    <w:p w:rsidR="00082A59" w:rsidRDefault="00082A59">
      <w:pPr>
        <w:ind w:left="0"/>
      </w:pPr>
      <w:r>
        <w:t>La rédaction proposée pour des dispositions relatives à la gestion financière de l’ association et de l’ utilisation des fonds perçus pourrait être la suivante :</w:t>
      </w:r>
    </w:p>
    <w:p w:rsidR="00082A59" w:rsidRDefault="00082A59">
      <w:pPr>
        <w:ind w:left="0"/>
      </w:pPr>
    </w:p>
    <w:p w:rsidR="00082A59" w:rsidRDefault="00082A59">
      <w:pPr>
        <w:pStyle w:val="Titre1"/>
      </w:pPr>
      <w:r>
        <w:t>ARTICLE ... GESTION FINANCIÈRE :</w:t>
      </w:r>
    </w:p>
    <w:p w:rsidR="00082A59" w:rsidRDefault="00082A59"/>
    <w:p w:rsidR="00082A59" w:rsidRDefault="00082A59">
      <w:pPr>
        <w:pStyle w:val="B2"/>
      </w:pPr>
      <w:r>
        <w:t>1. Le trésorier tient la comptabilité de l’ Association, conformément aux lois et règlements en vigueur.</w:t>
      </w:r>
    </w:p>
    <w:p w:rsidR="00082A59" w:rsidRDefault="00082A59">
      <w:pPr>
        <w:pStyle w:val="B2"/>
      </w:pPr>
      <w:r>
        <w:t>Le trésorier présentera la comptabilité de l’ Association à toute demande du bureau et/ou de l’ un de ses membres.</w:t>
      </w:r>
    </w:p>
    <w:p w:rsidR="00082A59" w:rsidRDefault="00082A59">
      <w:pPr>
        <w:pStyle w:val="B2"/>
      </w:pPr>
      <w:r>
        <w:t>Le trésorier effectue l’ ensemble des déclarations fiscales et sociales liées à l’ emploi de salariés pour les besoins de la réalisation de l’ objet social de l’ Association.</w:t>
      </w:r>
    </w:p>
    <w:p w:rsidR="00082A59" w:rsidRDefault="00082A59">
      <w:pPr>
        <w:pStyle w:val="B2"/>
      </w:pPr>
      <w:r>
        <w:t>2. Les fonds reçus, dont l’ utilisation sera conforme à l’ objet de l’ Association, seront destinés au financement de recherches, d’ amélioration de la qualité des soins et/ou des connaissances médicales, scientifiques ou épidémiologiques, y compris les moyens matériels y concourant.</w:t>
      </w:r>
    </w:p>
    <w:p w:rsidR="00082A59" w:rsidRDefault="00082A59">
      <w:pPr>
        <w:ind w:left="0"/>
      </w:pPr>
    </w:p>
    <w:p w:rsidR="00082A59" w:rsidRDefault="00082A59">
      <w:pPr>
        <w:ind w:left="0"/>
      </w:pPr>
      <w:r>
        <w:t>La décision d’ affectation des fonds sera collégiale et prise lors des réunions du bureau.</w:t>
      </w:r>
    </w:p>
    <w:p w:rsidR="00082A59" w:rsidRDefault="00082A59">
      <w:pPr>
        <w:ind w:left="0"/>
      </w:pPr>
      <w:r>
        <w:t>Les fonds reçus ne seront pas destinés à couvrir des dépenses privées ou des frais professionnels non liés à l’ objet de l’ Association et exposés par les membres de l’ Association.</w:t>
      </w:r>
    </w:p>
    <w:p w:rsidR="00082A59" w:rsidRDefault="00082A59">
      <w:pPr>
        <w:ind w:left="0"/>
      </w:pPr>
    </w:p>
    <w:p w:rsidR="00082A59" w:rsidRDefault="00082A59">
      <w:pPr>
        <w:pStyle w:val="NormalCentre"/>
      </w:pPr>
      <w:r>
        <w:t>CONCLUSION</w:t>
      </w:r>
    </w:p>
    <w:p w:rsidR="00082A59" w:rsidRDefault="00082A59"/>
    <w:p w:rsidR="00082A59" w:rsidRDefault="00082A59">
      <w:pPr>
        <w:ind w:left="0"/>
      </w:pPr>
      <w:r>
        <w:t>En conclusion, il est rappelé que les statuts d’ association soumis au régime juridique de la loi du 1er juillet 1901 doivent faire l’ objet d’ une rédaction et d’ une discussion entre les membres fondateurs. Les statuts doivent prévoir l’ ensemble des dispositions qui régiront la vie de cette dernière.</w:t>
      </w:r>
    </w:p>
    <w:p w:rsidR="00082A59" w:rsidRDefault="00082A59">
      <w:pPr>
        <w:ind w:left="0"/>
      </w:pPr>
      <w:r>
        <w:t>Les statuts de l’ association peuvent être complétés par un règlement intérieur qui apportera des précisions nécessaires à la gestion courante de l’ association. Toutefois, le règlement intérieur ne peut en aucun cas déroger ou modifier les statuts de l’ association.</w:t>
      </w:r>
    </w:p>
    <w:p w:rsidR="00082A59" w:rsidRDefault="00082A59">
      <w:pPr>
        <w:ind w:left="0"/>
        <w:sectPr w:rsidR="00082A59">
          <w:pgSz w:w="11906" w:h="16838" w:code="9"/>
          <w:pgMar w:top="1418" w:right="1418" w:bottom="1418" w:left="1418" w:header="720" w:footer="720" w:gutter="0"/>
          <w:cols w:space="720"/>
        </w:sectPr>
      </w:pPr>
    </w:p>
    <w:p w:rsidR="00082A59" w:rsidRDefault="00082A59">
      <w:pPr>
        <w:ind w:left="0"/>
      </w:pPr>
    </w:p>
    <w:p w:rsidR="00082A59" w:rsidRDefault="00082A59">
      <w:pPr>
        <w:ind w:left="0"/>
      </w:pPr>
      <w:r>
        <w:t>ANNEXE 5</w:t>
      </w:r>
    </w:p>
    <w:p w:rsidR="00082A59" w:rsidRDefault="00082A59">
      <w:pPr>
        <w:ind w:left="0"/>
      </w:pPr>
    </w:p>
    <w:p w:rsidR="00082A59" w:rsidRDefault="00082A59">
      <w:pPr>
        <w:pStyle w:val="Titre"/>
      </w:pPr>
      <w:r>
        <w:t>RECOMMANDATIONS POUR LA RÉDACTION DE CONTRATS DE RECHERCHE BIOMÉDICALE AVEC DES ASSOCIATIONS “ LOI 1901 ”</w:t>
      </w:r>
    </w:p>
    <w:p w:rsidR="00082A59" w:rsidRDefault="00082A59">
      <w:pPr>
        <w:ind w:left="0"/>
      </w:pPr>
    </w:p>
    <w:p w:rsidR="00082A59" w:rsidRDefault="00082A59">
      <w:pPr>
        <w:ind w:left="0"/>
      </w:pPr>
      <w:r>
        <w:t>Les présentes recommandations concernent essentiellement les contrats passés pour la réalisation de recherches biomédicales, régies par la loi "Huriet-Sérusclat" du 20 décembre 1988. Ces recherches présentent un certain nombre de spécificités (liées par exemple au statut et aux responsabilités de l'investigateur) que l'on ne retrouve pas de manière obligatoire dans d'autres catégories de recherches (épidémiologiques notamment). Pour l'établissement de contrats liés à ces autres catégories de recherche, il est possible de s'inspirer des principes de ces recommandations, qui restent transposables aux autres catégories de recherches.</w:t>
      </w:r>
    </w:p>
    <w:p w:rsidR="00082A59" w:rsidRDefault="00082A59">
      <w:pPr>
        <w:ind w:left="0"/>
      </w:pPr>
      <w:r>
        <w:t>Par ailleurs, les recommandations qui suivent ne sont que des modèles indicatifs et très généraux, qui ne peuvent pas prendre en compte les spécificités des toutes les prestations de service dans le domaine</w:t>
      </w:r>
    </w:p>
    <w:p w:rsidR="00082A59" w:rsidRDefault="00082A59">
      <w:pPr>
        <w:ind w:left="0"/>
      </w:pPr>
      <w:r>
        <w:t>de la recherche.</w:t>
      </w:r>
    </w:p>
    <w:p w:rsidR="00082A59" w:rsidRDefault="00082A59">
      <w:pPr>
        <w:ind w:left="0"/>
      </w:pPr>
      <w:r>
        <w:t>Ces recommandations ne constituent donc qu'une base pour la rédaction des contrats de recherche entre associations et laboratoires, étant entendu que chaque contrat devra être adapté en fonction de la spécificité de la prestation confiée.</w:t>
      </w:r>
    </w:p>
    <w:p w:rsidR="00082A59" w:rsidRDefault="00082A59">
      <w:pPr>
        <w:ind w:left="0"/>
      </w:pPr>
    </w:p>
    <w:p w:rsidR="00082A59" w:rsidRDefault="00082A59">
      <w:pPr>
        <w:pStyle w:val="Titre1"/>
      </w:pPr>
      <w:r>
        <w:t>1 - DÉNOMINATION</w:t>
      </w:r>
    </w:p>
    <w:p w:rsidR="00082A59" w:rsidRDefault="00082A59"/>
    <w:p w:rsidR="00082A59" w:rsidRDefault="00082A59">
      <w:pPr>
        <w:ind w:left="0"/>
        <w:rPr>
          <w:rFonts w:ascii="Arial Black" w:hAnsi="Arial Black"/>
        </w:rPr>
      </w:pPr>
      <w:r>
        <w:t>La dénomination du document importe peu. Il est fréquent de désigner ce type de contrat sous des dénominations diverses telles que “ contrat, convention, agrément etc... ”. Pour la commodité de la qualification de la relation, et compte tenu de la spécificité de l’ industrie pharmaceutique, il est possible d’ adopter une dénomination du type "Convention de Recherche Biomédical</w:t>
      </w:r>
      <w:r>
        <w:rPr>
          <w:rFonts w:ascii="Times New Roman" w:hAnsi="Times New Roman"/>
        </w:rPr>
        <w:t>e</w:t>
      </w:r>
      <w:r>
        <w:rPr>
          <w:rFonts w:ascii="Arial Black" w:hAnsi="Arial Black"/>
        </w:rPr>
        <w:t>".</w:t>
      </w:r>
    </w:p>
    <w:p w:rsidR="00082A59" w:rsidRDefault="00082A59">
      <w:pPr>
        <w:ind w:left="0"/>
      </w:pPr>
      <w:r>
        <w:t>Sur la première page de la convention, il devra être précisé entre qui et qui elle est conclue. En l'occurrence, elle sera conclue entre une association, qui sera en général représentée par son Président (ou par tout autre membre du conseil d'administration expressément habilité à cet effet), et une entreprise, représentée par une personne habilitée à engager sa société dans ce domaine.</w:t>
      </w:r>
    </w:p>
    <w:p w:rsidR="00082A59" w:rsidRDefault="00082A59">
      <w:pPr>
        <w:ind w:left="0"/>
      </w:pPr>
      <w:r>
        <w:t>Il est également nécessaire de préciser en première page, en dessous de la désignation des parties, que la convention est passée "en présence du Dr....", qui est l'investigateur en charge des obligations que prévoit la loi du 20 décembre 1988.</w:t>
      </w:r>
    </w:p>
    <w:p w:rsidR="00082A59" w:rsidRDefault="00082A59">
      <w:pPr>
        <w:ind w:left="0"/>
      </w:pPr>
    </w:p>
    <w:p w:rsidR="00082A59" w:rsidRDefault="00082A59">
      <w:pPr>
        <w:pStyle w:val="Titre1"/>
      </w:pPr>
      <w:r>
        <w:t>2 - PRÉAMBULE</w:t>
      </w:r>
    </w:p>
    <w:p w:rsidR="00082A59" w:rsidRDefault="00082A59"/>
    <w:p w:rsidR="00082A59" w:rsidRDefault="00082A59">
      <w:pPr>
        <w:ind w:left="0"/>
      </w:pPr>
      <w:r>
        <w:t>Il est utile d'insérer dans la convention un préambule en quelque paragraphe, exposant les raisons générales pour lesquelles le contrat est passé avec cette association.</w:t>
      </w:r>
    </w:p>
    <w:p w:rsidR="00082A59" w:rsidRDefault="00082A59">
      <w:pPr>
        <w:ind w:left="0"/>
      </w:pPr>
      <w:r>
        <w:t>Il peut s'agir de la prestation intellectuelle rendue par l'association, la mise à disposition d'un réseau de personnes, l'organisation entre les scientifiques membres de l'association de contacts permettant de faire progresser la recherche dans le secteur concerné etc.</w:t>
      </w:r>
    </w:p>
    <w:p w:rsidR="00082A59" w:rsidRDefault="00082A59">
      <w:pPr>
        <w:ind w:left="0"/>
      </w:pPr>
    </w:p>
    <w:p w:rsidR="00082A59" w:rsidRDefault="00082A59">
      <w:pPr>
        <w:pStyle w:val="Titre1"/>
      </w:pPr>
      <w:r>
        <w:t>3 - OBJET DE LA CONVENTION</w:t>
      </w:r>
    </w:p>
    <w:p w:rsidR="00082A59" w:rsidRDefault="00082A59"/>
    <w:p w:rsidR="00082A59" w:rsidRDefault="00082A59">
      <w:pPr>
        <w:ind w:left="0"/>
      </w:pPr>
      <w:r>
        <w:t>L’ objet de la convention doit décrire les grandes lignes de l'objectif de la recherche tels qu'ils sont précisés de manière technique et détaillée dans le protocole scientifique qui en constituera une annexe.</w:t>
      </w:r>
    </w:p>
    <w:p w:rsidR="00082A59" w:rsidRDefault="00082A59">
      <w:pPr>
        <w:ind w:left="0"/>
      </w:pPr>
      <w:r>
        <w:t>Il doit être rappelé, que l'association a, sous sa responsabilité, désigné l’ investigateur, qui est un médecin justifiant d’ une expérience appropriée et sous la direction et la surveillance duquel sera réalisé l’ essai conformément aux dispositions de l’ article L. 209-3 du Code de la Santé Publique.</w:t>
      </w:r>
    </w:p>
    <w:p w:rsidR="00082A59" w:rsidRDefault="00082A59">
      <w:pPr>
        <w:ind w:left="0"/>
      </w:pPr>
      <w:r>
        <w:t>L’ objet doit donc préciser que la recherche biomédicale sera mise en oeuvre et réalisée sous la "direction d’ un médecin responsable, personne physique, désigné par l'association".</w:t>
      </w:r>
    </w:p>
    <w:p w:rsidR="00082A59" w:rsidRDefault="00082A59">
      <w:pPr>
        <w:ind w:left="0"/>
      </w:pPr>
      <w:r>
        <w:t>Ce médecin est l’ investigateur, et sera nominativement désigné dans le contrat : l'investigateur désigné par l'association est le Docteur [XXXXX], inscrit sous le numéro [XXXX], au Conseil de l’ Ordre Départemental</w:t>
      </w:r>
    </w:p>
    <w:p w:rsidR="00082A59" w:rsidRDefault="00082A59">
      <w:pPr>
        <w:ind w:left="0"/>
      </w:pPr>
      <w:r>
        <w:t>des Médecins de [XXXXX].</w:t>
      </w:r>
    </w:p>
    <w:p w:rsidR="00082A59" w:rsidRDefault="00082A59">
      <w:pPr>
        <w:ind w:left="0"/>
      </w:pPr>
    </w:p>
    <w:p w:rsidR="00082A59" w:rsidRDefault="00082A59">
      <w:pPr>
        <w:ind w:left="0"/>
      </w:pPr>
      <w:r>
        <w:t>Il pourra également être précisé que :</w:t>
      </w:r>
    </w:p>
    <w:p w:rsidR="00082A59" w:rsidRDefault="00082A59">
      <w:pPr>
        <w:ind w:left="0"/>
      </w:pPr>
      <w:r>
        <w:t>Sous sa responsabilité et celle de l’ investigateur, l'association conduira la réalisation de la recherche, dans le stricte respect de la réglementation, en particulier des articles L..209-1 à L. 209-3 du code de la Santé</w:t>
      </w:r>
    </w:p>
    <w:p w:rsidR="00082A59" w:rsidRDefault="00082A59">
      <w:pPr>
        <w:ind w:left="0"/>
      </w:pPr>
      <w:r>
        <w:t>Publique, des bonnes pratiques cliniques européennes ainsi que des règles déontologiques.</w:t>
      </w:r>
    </w:p>
    <w:p w:rsidR="00082A59" w:rsidRDefault="00082A59">
      <w:pPr>
        <w:ind w:left="0"/>
      </w:pPr>
      <w:r>
        <w:t>L'objet du contrat devra également préciser à quel titre le médecin intervient : salarié de l'association ou membre bénévole.</w:t>
      </w:r>
    </w:p>
    <w:p w:rsidR="00082A59" w:rsidRDefault="00082A59">
      <w:pPr>
        <w:ind w:left="0"/>
      </w:pPr>
      <w:r>
        <w:t>Préciser également le lieu de réalisation de la recherche.</w:t>
      </w:r>
    </w:p>
    <w:p w:rsidR="00082A59" w:rsidRDefault="00082A59">
      <w:pPr>
        <w:pStyle w:val="Titre1"/>
      </w:pPr>
    </w:p>
    <w:p w:rsidR="00082A59" w:rsidRDefault="00082A59">
      <w:pPr>
        <w:pStyle w:val="Titre1"/>
      </w:pPr>
      <w:r>
        <w:t>4 - OBLIGATIONS DES PARTIES</w:t>
      </w:r>
    </w:p>
    <w:p w:rsidR="00082A59" w:rsidRDefault="00082A59">
      <w:pPr>
        <w:ind w:left="0"/>
      </w:pPr>
    </w:p>
    <w:p w:rsidR="00082A59" w:rsidRDefault="00082A59">
      <w:pPr>
        <w:ind w:left="0"/>
      </w:pPr>
      <w:r>
        <w:t>La convention de recherche doit comporter des dispositions spécifiques décrivant les obligations de l'association, les obligations de l'investigateur et les obligations du promoteur.</w:t>
      </w:r>
    </w:p>
    <w:p w:rsidR="00082A59" w:rsidRDefault="00082A59">
      <w:pPr>
        <w:pStyle w:val="Titre1"/>
      </w:pPr>
      <w:r>
        <w:t xml:space="preserve">A - Les obligations de l'association. </w:t>
      </w:r>
    </w:p>
    <w:p w:rsidR="00082A59" w:rsidRDefault="00082A59">
      <w:pPr>
        <w:ind w:left="0"/>
      </w:pPr>
      <w:r>
        <w:t>Il convient d’ indiquer que l'association s’ engage à ce que les prestations qui lui ont été demandées pour la mise en oeuvre de la recherche entrent dans le cadre de son objet, tel qu’ il figure dans les statuts mis à jour, ces statuts étant annexés au document.</w:t>
      </w:r>
    </w:p>
    <w:p w:rsidR="00082A59" w:rsidRDefault="00082A59">
      <w:pPr>
        <w:ind w:left="0"/>
      </w:pPr>
      <w:r>
        <w:t>L'association aura pour obligation de désigner l'investigateur, de prendre l’ engagement que “ l’ investigateur ” mènera l’ essai ou les recherches dans le respect de la législation en vigueur et conformément au protocole scientifique.</w:t>
      </w:r>
    </w:p>
    <w:p w:rsidR="00082A59" w:rsidRDefault="00082A59">
      <w:pPr>
        <w:ind w:left="0"/>
      </w:pPr>
      <w:r>
        <w:t>A ce titre, c’ est l'association qui se porte garante de la bonne exécution des prestations, réalisées par l’ investigateur désigné sous sa responsabilité, et que celui-ci respectera l’ ensemble des dispositions du Code de la</w:t>
      </w:r>
    </w:p>
    <w:p w:rsidR="00082A59" w:rsidRDefault="00082A59">
      <w:pPr>
        <w:ind w:left="0"/>
      </w:pPr>
      <w:r>
        <w:t>Santé Publique, en matière de recherches biomédicales.</w:t>
      </w:r>
    </w:p>
    <w:p w:rsidR="00082A59" w:rsidRDefault="00082A59">
      <w:pPr>
        <w:ind w:left="0"/>
      </w:pPr>
      <w:r>
        <w:t>L'association peut également par ailleurs assumer des obligations plus spécifiquement liées à son activité en tant que personne morale : mise à disposition de personnes, de matériels (sous réserve que ces matériels lui appartiennent en propre), prestation "administratives", comme l'organisation et la gestion administrative de la recherche.</w:t>
      </w:r>
    </w:p>
    <w:p w:rsidR="00082A59" w:rsidRDefault="00082A59">
      <w:pPr>
        <w:ind w:left="0"/>
      </w:pPr>
      <w:r>
        <w:t>L'association devra fournir les documents suivants, qui seront annexés au contrat :</w:t>
      </w:r>
    </w:p>
    <w:p w:rsidR="00082A59" w:rsidRDefault="00082A59">
      <w:pPr>
        <w:pStyle w:val="B2"/>
        <w:rPr>
          <w:lang w:val="fr-FR"/>
        </w:rPr>
      </w:pPr>
      <w:r>
        <w:rPr>
          <w:lang w:val="fr-FR"/>
        </w:rPr>
        <w:t>Une copie de ses statuts</w:t>
      </w:r>
    </w:p>
    <w:p w:rsidR="00082A59" w:rsidRDefault="00082A59">
      <w:pPr>
        <w:pStyle w:val="B2"/>
        <w:rPr>
          <w:lang w:val="fr-FR"/>
        </w:rPr>
      </w:pPr>
      <w:r>
        <w:rPr>
          <w:lang w:val="fr-FR"/>
        </w:rPr>
        <w:t>Une copie de l'insertion au Journal Officiel de la déclaration de l'association.</w:t>
      </w:r>
    </w:p>
    <w:p w:rsidR="00082A59" w:rsidRDefault="00082A59">
      <w:pPr>
        <w:pStyle w:val="B2"/>
        <w:rPr>
          <w:lang w:val="fr-FR"/>
        </w:rPr>
      </w:pPr>
      <w:r>
        <w:rPr>
          <w:lang w:val="fr-FR"/>
        </w:rPr>
        <w:t>Un relevé d'identité bancaire.</w:t>
      </w:r>
    </w:p>
    <w:p w:rsidR="00082A59" w:rsidRDefault="00082A59">
      <w:pPr>
        <w:pStyle w:val="B2"/>
      </w:pPr>
      <w:r>
        <w:rPr>
          <w:lang w:val="fr-FR"/>
        </w:rPr>
        <w:t xml:space="preserve">Un document attestant de l'accord de la direction de l'hôpital à la réalisation de la recherche, qui sera annexé au contrat. </w:t>
      </w:r>
      <w:r>
        <w:t>A tout le moins, elle devra fournir l'autorisation de domiciliation au sein de l'hôpital.</w:t>
      </w:r>
    </w:p>
    <w:p w:rsidR="00082A59" w:rsidRDefault="00082A59">
      <w:pPr>
        <w:pStyle w:val="B2"/>
      </w:pPr>
      <w:r>
        <w:t>Il conviendra de prévoir également une clause selon laquelle l'association déclare être conformité avec l'ensemble des obligations qui lui incombent sur un plan fiscal et social. Annexer au contrat l'attestation relative au travail dissimulé.</w:t>
      </w:r>
    </w:p>
    <w:p w:rsidR="00082A59" w:rsidRDefault="00082A59">
      <w:pPr>
        <w:pStyle w:val="Titre1"/>
      </w:pPr>
      <w:r>
        <w:t>B - Obligations du promoteur</w:t>
      </w:r>
    </w:p>
    <w:p w:rsidR="00082A59" w:rsidRDefault="00082A59"/>
    <w:p w:rsidR="00082A59" w:rsidRDefault="00082A59">
      <w:pPr>
        <w:ind w:left="0"/>
      </w:pPr>
      <w:r>
        <w:t>La convention de recherches biomédicales peut rappeler les grandes obligations imposées au promoteur par les textes, et indiquer que le promoteur a souscrit aux formalités qui lui incombent.</w:t>
      </w:r>
    </w:p>
    <w:p w:rsidR="00082A59" w:rsidRDefault="00082A59">
      <w:pPr>
        <w:ind w:left="0"/>
      </w:pPr>
      <w:r>
        <w:t>A titre d’ exemple, il pourrait être rappelé que le promoteur atteste :</w:t>
      </w:r>
    </w:p>
    <w:p w:rsidR="00082A59" w:rsidRDefault="00082A59">
      <w:pPr>
        <w:pStyle w:val="B2"/>
        <w:rPr>
          <w:lang w:val="fr-FR"/>
        </w:rPr>
      </w:pPr>
      <w:r>
        <w:rPr>
          <w:lang w:val="fr-FR"/>
        </w:rPr>
        <w:t>avoir adressé une déclaration d’ intention au Ministre chargé de la Santé (L. 209-12, alinéa 4 du code de la Santé Publique) ;</w:t>
      </w:r>
    </w:p>
    <w:p w:rsidR="00082A59" w:rsidRDefault="00082A59">
      <w:pPr>
        <w:pStyle w:val="B2"/>
        <w:rPr>
          <w:lang w:val="fr-FR"/>
        </w:rPr>
      </w:pPr>
      <w:r>
        <w:rPr>
          <w:lang w:val="fr-FR"/>
        </w:rPr>
        <w:t>avoir obtenu l’ avis favorable du C.C.P.P.R.B. [XXXXX] le [date] ;</w:t>
      </w:r>
    </w:p>
    <w:p w:rsidR="00082A59" w:rsidRDefault="00082A59">
      <w:pPr>
        <w:pStyle w:val="B2"/>
        <w:rPr>
          <w:lang w:val="fr-FR"/>
        </w:rPr>
      </w:pPr>
      <w:r>
        <w:rPr>
          <w:lang w:val="fr-FR"/>
        </w:rPr>
        <w:t>avoir souscrit une assurance garantissant sa responsabilité civile ainsi que celle des intervenants conformément aux dispositions de l’ article L. 209-7 du code de la Santé Publique. ”</w:t>
      </w:r>
    </w:p>
    <w:p w:rsidR="00082A59" w:rsidRDefault="00082A59">
      <w:pPr>
        <w:ind w:left="0"/>
      </w:pPr>
    </w:p>
    <w:p w:rsidR="00082A59" w:rsidRDefault="00082A59">
      <w:pPr>
        <w:ind w:left="0"/>
      </w:pPr>
      <w:r>
        <w:t>Enfin, il est souhaitable que le promoteur prenne, au titre de la convention, des engagements spécifiques et notamment celui d’ informer l’ agence du médicament de tout fait nouveau concernant le déroulement de la</w:t>
      </w:r>
    </w:p>
    <w:p w:rsidR="00082A59" w:rsidRDefault="00082A59">
      <w:pPr>
        <w:ind w:left="0"/>
      </w:pPr>
      <w:r>
        <w:t>recherche, susceptible de porter atteinte à la sécurité des personnes qui se prêtent à la recherche, ainsi que de fournir gratuitement les médicaments et/ou produits utilisés pour cette recherche.</w:t>
      </w:r>
    </w:p>
    <w:p w:rsidR="00082A59" w:rsidRDefault="00082A59">
      <w:pPr>
        <w:ind w:left="0"/>
      </w:pPr>
    </w:p>
    <w:p w:rsidR="00082A59" w:rsidRDefault="00082A59">
      <w:pPr>
        <w:ind w:left="0"/>
      </w:pPr>
    </w:p>
    <w:p w:rsidR="00082A59" w:rsidRDefault="00082A59">
      <w:pPr>
        <w:pStyle w:val="Titre1"/>
      </w:pPr>
      <w:r>
        <w:t>C- Obligations de l'investigateur</w:t>
      </w:r>
    </w:p>
    <w:p w:rsidR="00082A59" w:rsidRDefault="00082A59"/>
    <w:p w:rsidR="00082A59" w:rsidRDefault="00082A59">
      <w:pPr>
        <w:ind w:left="0"/>
      </w:pPr>
      <w:r>
        <w:t>L'investigateur doit assumer directement les obligations qui lui incombent au titre de la loi du 20 décembre 1998 qui sont notamment les suivantes :</w:t>
      </w:r>
    </w:p>
    <w:p w:rsidR="00082A59" w:rsidRDefault="00082A59">
      <w:pPr>
        <w:pStyle w:val="B2"/>
        <w:rPr>
          <w:lang w:val="fr-FR"/>
        </w:rPr>
      </w:pPr>
      <w:r>
        <w:rPr>
          <w:lang w:val="fr-FR"/>
        </w:rPr>
        <w:t>Direction et surveillance de la réalisation de la recherche conformément aux disposition des articles L.209-1 et L.209-3 du Code de la santé publique.</w:t>
      </w:r>
    </w:p>
    <w:p w:rsidR="00082A59" w:rsidRDefault="00082A59">
      <w:pPr>
        <w:pStyle w:val="B2"/>
        <w:rPr>
          <w:lang w:val="fr-FR"/>
        </w:rPr>
      </w:pPr>
      <w:r>
        <w:rPr>
          <w:lang w:val="fr-FR"/>
        </w:rPr>
        <w:t>Vérification des conditions requises (appréciation de la nature de l'essai, expérimentations préalables suffisantes etc...) pour la réalisation de l'expérimentation.</w:t>
      </w:r>
    </w:p>
    <w:p w:rsidR="00082A59" w:rsidRDefault="00082A59">
      <w:pPr>
        <w:pStyle w:val="B2"/>
      </w:pPr>
      <w:r>
        <w:t>L'investigateur pourra demander des informations supplémentaires s'il s'estime insuffisamment informé.</w:t>
      </w:r>
    </w:p>
    <w:p w:rsidR="00082A59" w:rsidRDefault="00082A59">
      <w:pPr>
        <w:pStyle w:val="B2"/>
        <w:rPr>
          <w:lang w:val="fr-FR"/>
        </w:rPr>
      </w:pPr>
      <w:r>
        <w:rPr>
          <w:lang w:val="fr-FR"/>
        </w:rPr>
        <w:t>Mener à bonne fin l'expérimentation qui lui est confiée.</w:t>
      </w:r>
    </w:p>
    <w:p w:rsidR="00082A59" w:rsidRDefault="00082A59">
      <w:pPr>
        <w:pStyle w:val="B2"/>
        <w:rPr>
          <w:lang w:val="fr-FR"/>
        </w:rPr>
      </w:pPr>
      <w:r>
        <w:rPr>
          <w:lang w:val="fr-FR"/>
        </w:rPr>
        <w:t>Information et recueil du consentement préalable du patient (articles L. 209-9 et L. 209-10</w:t>
      </w:r>
    </w:p>
    <w:p w:rsidR="00082A59" w:rsidRDefault="00082A59">
      <w:pPr>
        <w:pStyle w:val="B2"/>
        <w:rPr>
          <w:lang w:val="fr-FR"/>
        </w:rPr>
      </w:pPr>
      <w:r>
        <w:rPr>
          <w:lang w:val="fr-FR"/>
        </w:rPr>
        <w:t>Vérification de l'affiliation directe ou indirecte des sujets à un régime de sécurité sociale dans le cadre de la réalisation de recherches sans bénéfice individuel (article L. 209-16).</w:t>
      </w:r>
    </w:p>
    <w:p w:rsidR="00082A59" w:rsidRDefault="00082A59">
      <w:pPr>
        <w:pStyle w:val="B2"/>
        <w:rPr>
          <w:lang w:val="fr-FR"/>
        </w:rPr>
      </w:pPr>
      <w:r>
        <w:rPr>
          <w:lang w:val="fr-FR"/>
        </w:rPr>
        <w:t>Vérification du respect des périodes d'exclusion dans le cadre des recherches sans bénéfice individuel direct (article L. 209-17).</w:t>
      </w:r>
    </w:p>
    <w:p w:rsidR="00082A59" w:rsidRDefault="00082A59">
      <w:pPr>
        <w:pStyle w:val="B2"/>
        <w:rPr>
          <w:lang w:val="fr-FR"/>
        </w:rPr>
      </w:pPr>
      <w:r>
        <w:rPr>
          <w:lang w:val="fr-FR"/>
        </w:rPr>
        <w:t>Obligation de se conformer au code des bonnes pratiques cliniques et au protocole scientifique.</w:t>
      </w:r>
    </w:p>
    <w:p w:rsidR="00082A59" w:rsidRDefault="00082A59">
      <w:pPr>
        <w:pStyle w:val="B2"/>
        <w:rPr>
          <w:lang w:val="fr-FR"/>
        </w:rPr>
      </w:pPr>
      <w:r>
        <w:rPr>
          <w:lang w:val="fr-FR"/>
        </w:rPr>
        <w:t>Établissement du rapport prévu par l'article R. 5127.</w:t>
      </w:r>
    </w:p>
    <w:p w:rsidR="00082A59" w:rsidRDefault="00082A59">
      <w:pPr>
        <w:pStyle w:val="B2"/>
        <w:rPr>
          <w:lang w:val="fr-FR"/>
        </w:rPr>
      </w:pPr>
      <w:r>
        <w:rPr>
          <w:lang w:val="fr-FR"/>
        </w:rPr>
        <w:t>Information du chef de service à l'hôpital.</w:t>
      </w:r>
    </w:p>
    <w:p w:rsidR="00082A59" w:rsidRDefault="00082A59">
      <w:pPr>
        <w:pStyle w:val="B2"/>
        <w:numPr>
          <w:ilvl w:val="0"/>
          <w:numId w:val="0"/>
        </w:numPr>
        <w:ind w:left="851"/>
        <w:rPr>
          <w:lang w:val="fr-FR"/>
        </w:rPr>
      </w:pPr>
    </w:p>
    <w:p w:rsidR="00082A59" w:rsidRDefault="00082A59">
      <w:pPr>
        <w:pStyle w:val="Titre1"/>
      </w:pPr>
      <w:r>
        <w:t>5 - CONDITIONS FINANCIÈRES</w:t>
      </w:r>
    </w:p>
    <w:p w:rsidR="00082A59" w:rsidRDefault="00082A59"/>
    <w:p w:rsidR="00082A59" w:rsidRDefault="00082A59">
      <w:pPr>
        <w:ind w:left="0"/>
      </w:pPr>
      <w:r>
        <w:t>La convention de recherche doit indiquer le montant total des sommes que versera le promoteur à l'association, en contrepartie de la réalisation complète et définitive de la prestation de services.</w:t>
      </w:r>
    </w:p>
    <w:p w:rsidR="00082A59" w:rsidRDefault="00082A59">
      <w:pPr>
        <w:ind w:left="0"/>
      </w:pPr>
      <w:r>
        <w:t>Le règlement de l'association aura lieu sur présentation par elle d'une facture en bonne et dues formes.</w:t>
      </w:r>
    </w:p>
    <w:p w:rsidR="00082A59" w:rsidRDefault="00082A59">
      <w:pPr>
        <w:ind w:left="0"/>
      </w:pPr>
      <w:r>
        <w:t>Il est souhaitable de prévoir que toutes les opérations qui seraient réalisées pour des patients inclus dans la recherche, en violation du protocole, ne donneront pas lieu au paiement des rémunérations correspondantes. De la même manière, il convient d’ envisager les cas spécifiques d’ arrêt de la recherche. Il est possible de prévoir que dans une telle hypothèse que prix du contrat variera au prorata des travaux réellement réalisés.</w:t>
      </w:r>
    </w:p>
    <w:p w:rsidR="00082A59" w:rsidRDefault="00082A59">
      <w:pPr>
        <w:ind w:left="0"/>
      </w:pPr>
    </w:p>
    <w:p w:rsidR="00082A59" w:rsidRDefault="00082A59">
      <w:pPr>
        <w:ind w:left="0"/>
      </w:pPr>
      <w:r>
        <w:t>En tout état de cause, l’ ensemble des sommes dues par le promoteur au titre de la recherche seront versées directement et uniquement à l'association.</w:t>
      </w:r>
    </w:p>
    <w:p w:rsidR="00082A59" w:rsidRDefault="00082A59">
      <w:pPr>
        <w:ind w:left="0"/>
      </w:pPr>
      <w:r>
        <w:t>En aucun cas au titre de la présente convention, il pourra être versé d’ honoraires directement à l’ investigateur.</w:t>
      </w:r>
    </w:p>
    <w:p w:rsidR="00082A59" w:rsidRDefault="00082A59">
      <w:pPr>
        <w:ind w:left="0"/>
      </w:pPr>
      <w:r>
        <w:t>L'association doit s’ engager à utiliser les sommes qui lui sont versées en exécution de la convention, conformément à son objet social, ces sommes ne pouvant être utilisées à des fins privées et/ou pour financer les dépenses personnelles du ou des médecin(s) désigné(s) en qualité d’ investigateur.</w:t>
      </w:r>
    </w:p>
    <w:p w:rsidR="00082A59" w:rsidRDefault="00082A59">
      <w:pPr>
        <w:ind w:left="0"/>
      </w:pPr>
      <w:r>
        <w:t>L'attestation de bénévolat de l'investigateur doit être annexée à la présente convention.</w:t>
      </w:r>
    </w:p>
    <w:p w:rsidR="00082A59" w:rsidRDefault="00082A59">
      <w:pPr>
        <w:ind w:left="0"/>
      </w:pPr>
      <w:r>
        <w:t>Dans le cas où l’ essai serait réalisé dans un établissement hospitalier, la convention de surcoûts induits par la recherche doit être établie directement avec la Direction de l’ établissement hospitalier.</w:t>
      </w:r>
    </w:p>
    <w:p w:rsidR="00082A59" w:rsidRDefault="00082A59">
      <w:pPr>
        <w:ind w:left="0"/>
      </w:pPr>
    </w:p>
    <w:p w:rsidR="00082A59" w:rsidRDefault="00082A59">
      <w:pPr>
        <w:pStyle w:val="Titre1"/>
      </w:pPr>
      <w:r>
        <w:t>6 - RESPONSABILITÉ ET ASSURANCE</w:t>
      </w:r>
    </w:p>
    <w:p w:rsidR="00082A59" w:rsidRDefault="00082A59"/>
    <w:p w:rsidR="00082A59" w:rsidRDefault="00082A59">
      <w:pPr>
        <w:ind w:left="0"/>
      </w:pPr>
      <w:r>
        <w:t>Il peut être utile de rappeler, qu’ en application des dispositions de l’ article L. 209-7 du code de la Santé Publique, le promoteur assume l’ indemnisation des conséquences dommageables de la recherche pour les personnes qui s’ y prêtent et doit souscrire une assurance garantissant sa responsabilité.</w:t>
      </w:r>
    </w:p>
    <w:p w:rsidR="00082A59" w:rsidRDefault="00082A59">
      <w:pPr>
        <w:ind w:left="0"/>
      </w:pPr>
      <w:r>
        <w:t>Les références de l’ assurance du promoteur, pour la recherche objet de la convention, doivent être rappelées dans le document.</w:t>
      </w:r>
    </w:p>
    <w:p w:rsidR="00082A59" w:rsidRDefault="00082A59">
      <w:pPr>
        <w:ind w:left="0"/>
      </w:pPr>
      <w:r>
        <w:t>De la même manière, l'association doit souscrire une police d’ assurance couvrant les conséquences de sa responsabilité civile pour les dommages qu’ elle pourrait causer dans l’ exécution des prestations objets de la convention.</w:t>
      </w:r>
    </w:p>
    <w:p w:rsidR="00082A59" w:rsidRDefault="00082A59">
      <w:pPr>
        <w:ind w:left="0"/>
      </w:pPr>
      <w:r>
        <w:t>Cette assurance responsabilité civile ne se substitue en aucun cas à celle du promoteur, mais couvre les cas dans lesquels la responsabilité de l'association pourrait être mise en cause (dommages aux biens, notamment en cas d'incendies et dommages aux personnes, y compris dommages aux patients dans les cas résiduels où l'assurance</w:t>
      </w:r>
    </w:p>
    <w:p w:rsidR="00082A59" w:rsidRDefault="00082A59">
      <w:pPr>
        <w:ind w:left="0"/>
      </w:pPr>
      <w:r>
        <w:t>du promoteur ne joue pas etc..).</w:t>
      </w:r>
    </w:p>
    <w:p w:rsidR="00082A59" w:rsidRDefault="00082A59">
      <w:pPr>
        <w:ind w:left="0"/>
      </w:pPr>
      <w:r>
        <w:t>Prévoir que l'association s'engage à fournir une attestation d'assurance sur simple demande du Promoteur.</w:t>
      </w:r>
    </w:p>
    <w:p w:rsidR="00082A59" w:rsidRDefault="00082A59">
      <w:pPr>
        <w:ind w:left="0"/>
      </w:pPr>
      <w:r>
        <w:t>En ce qui concerne l'investigateur, il convient de rappeler que celui-ci intervient en tant que membre bénévole délégué par l'association pour la réalisation de la prestation.</w:t>
      </w:r>
    </w:p>
    <w:p w:rsidR="00082A59" w:rsidRDefault="00082A59">
      <w:pPr>
        <w:ind w:left="0"/>
      </w:pPr>
      <w:r>
        <w:t>En principe donc, l'investigateur est couvert par la police d'assurance de l'association.</w:t>
      </w:r>
    </w:p>
    <w:p w:rsidR="00082A59" w:rsidRDefault="00082A59">
      <w:pPr>
        <w:ind w:left="0"/>
      </w:pPr>
      <w:r>
        <w:t>Cependant, il faut bien vérifier ce point dans la police d'assurance de l'association afin d'être certain qu'elle couvre bien la responsabilité (également résiduelle) de l'investigateur.</w:t>
      </w:r>
    </w:p>
    <w:p w:rsidR="00082A59" w:rsidRDefault="00082A59">
      <w:pPr>
        <w:ind w:left="0"/>
      </w:pPr>
    </w:p>
    <w:p w:rsidR="00082A59" w:rsidRDefault="00082A59">
      <w:pPr>
        <w:pStyle w:val="Titre1"/>
      </w:pPr>
      <w:r>
        <w:t>7 - CLAUSES DIVERSES</w:t>
      </w:r>
    </w:p>
    <w:p w:rsidR="00082A59" w:rsidRDefault="00082A59"/>
    <w:p w:rsidR="00082A59" w:rsidRDefault="00082A59">
      <w:pPr>
        <w:ind w:left="0"/>
      </w:pPr>
      <w:r>
        <w:t>Il conviendra d'ajouter les clauses de confidentialité, de propriété des résultats, celles relatives aux publications, à la fin du contrat, etc...</w:t>
      </w:r>
    </w:p>
    <w:p w:rsidR="00082A59" w:rsidRDefault="00082A59">
      <w:pPr>
        <w:ind w:left="0"/>
      </w:pPr>
    </w:p>
    <w:sectPr w:rsidR="00082A59">
      <w:pgSz w:w="11906" w:h="16838" w:code="9"/>
      <w:pgMar w:top="1418" w:right="1418" w:bottom="1418"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A59" w:rsidRDefault="00082A59">
      <w:pPr>
        <w:spacing w:after="0"/>
      </w:pPr>
      <w:r>
        <w:separator/>
      </w:r>
    </w:p>
  </w:endnote>
  <w:endnote w:type="continuationSeparator" w:id="0">
    <w:p w:rsidR="00082A59" w:rsidRDefault="00082A5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Verdana Ref">
    <w:altName w:val="Tahoma"/>
    <w:charset w:val="00"/>
    <w:family w:val="swiss"/>
    <w:pitch w:val="variable"/>
    <w:sig w:usb0="00000001" w:usb1="00000000"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A59" w:rsidRDefault="00082A59">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082A59" w:rsidRDefault="00082A59">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A59" w:rsidRDefault="00082A59">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61513C">
      <w:rPr>
        <w:rStyle w:val="Numrodepage"/>
      </w:rPr>
      <w:t>1</w:t>
    </w:r>
    <w:r>
      <w:rPr>
        <w:rStyle w:val="Numrodepage"/>
      </w:rPr>
      <w:fldChar w:fldCharType="end"/>
    </w:r>
    <w:r>
      <w:rPr>
        <w:rStyle w:val="Numrodepage"/>
      </w:rPr>
      <w:t>/27</w:t>
    </w:r>
  </w:p>
  <w:p w:rsidR="00082A59" w:rsidRDefault="00082A59">
    <w:pPr>
      <w:pStyle w:val="Pieddepage"/>
      <w:framePr w:wrap="around" w:vAnchor="text" w:hAnchor="margin" w:xAlign="center" w:y="1"/>
      <w:rPr>
        <w:rStyle w:val="Numrodepage"/>
      </w:rPr>
    </w:pPr>
  </w:p>
  <w:p w:rsidR="00082A59" w:rsidRDefault="00082A59">
    <w:pPr>
      <w:pStyle w:val="Pieddepage"/>
      <w:jc w:val="left"/>
    </w:pPr>
    <w:r>
      <w:t>Guide pratique des contrats de recherche</w:t>
    </w:r>
  </w:p>
  <w:p w:rsidR="00082A59" w:rsidRDefault="00082A59">
    <w:pPr>
      <w:pStyle w:val="Pieddepage"/>
      <w:jc w:val="left"/>
    </w:pPr>
    <w:r>
      <w:t>Sunnikan Consulting_NT_Réglementation -2002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A59" w:rsidRDefault="00082A59">
      <w:pPr>
        <w:spacing w:after="0"/>
      </w:pPr>
      <w:r>
        <w:separator/>
      </w:r>
    </w:p>
  </w:footnote>
  <w:footnote w:type="continuationSeparator" w:id="0">
    <w:p w:rsidR="00082A59" w:rsidRDefault="00082A5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2271C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441A1F88"/>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C62E6EC2"/>
    <w:lvl w:ilvl="0">
      <w:start w:val="1"/>
      <w:numFmt w:val="decimal"/>
      <w:pStyle w:val="Listenumros3"/>
      <w:lvlText w:val="%1."/>
      <w:lvlJc w:val="left"/>
      <w:pPr>
        <w:tabs>
          <w:tab w:val="num" w:pos="926"/>
        </w:tabs>
        <w:ind w:left="926" w:hanging="360"/>
      </w:pPr>
    </w:lvl>
  </w:abstractNum>
  <w:abstractNum w:abstractNumId="3">
    <w:nsid w:val="FFFFFF7F"/>
    <w:multiLevelType w:val="singleLevel"/>
    <w:tmpl w:val="CFE2B0FC"/>
    <w:lvl w:ilvl="0">
      <w:start w:val="1"/>
      <w:numFmt w:val="decimal"/>
      <w:pStyle w:val="Listenumros2"/>
      <w:lvlText w:val="%1."/>
      <w:lvlJc w:val="left"/>
      <w:pPr>
        <w:tabs>
          <w:tab w:val="num" w:pos="643"/>
        </w:tabs>
        <w:ind w:left="643" w:hanging="360"/>
      </w:pPr>
    </w:lvl>
  </w:abstractNum>
  <w:abstractNum w:abstractNumId="4">
    <w:nsid w:val="FFFFFF80"/>
    <w:multiLevelType w:val="singleLevel"/>
    <w:tmpl w:val="A816EE1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3A4AB2A6"/>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F50A2752"/>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F4C82468"/>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2D4AD73C"/>
    <w:lvl w:ilvl="0">
      <w:start w:val="1"/>
      <w:numFmt w:val="decimal"/>
      <w:pStyle w:val="Listenumros"/>
      <w:lvlText w:val="%1."/>
      <w:lvlJc w:val="left"/>
      <w:pPr>
        <w:tabs>
          <w:tab w:val="num" w:pos="360"/>
        </w:tabs>
        <w:ind w:left="360" w:hanging="360"/>
      </w:pPr>
    </w:lvl>
  </w:abstractNum>
  <w:abstractNum w:abstractNumId="9">
    <w:nsid w:val="FFFFFF89"/>
    <w:multiLevelType w:val="singleLevel"/>
    <w:tmpl w:val="3280D38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B1697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65B7311"/>
    <w:multiLevelType w:val="singleLevel"/>
    <w:tmpl w:val="12AA7042"/>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2">
    <w:nsid w:val="06B336AD"/>
    <w:multiLevelType w:val="singleLevel"/>
    <w:tmpl w:val="7DF0EE4A"/>
    <w:lvl w:ilvl="0">
      <w:start w:val="1"/>
      <w:numFmt w:val="bullet"/>
      <w:pStyle w:val="B2"/>
      <w:lvlText w:val="­"/>
      <w:lvlJc w:val="left"/>
      <w:pPr>
        <w:tabs>
          <w:tab w:val="num" w:pos="927"/>
        </w:tabs>
        <w:ind w:left="340" w:firstLine="227"/>
      </w:pPr>
      <w:rPr>
        <w:rFonts w:ascii="Times New Roman" w:hAnsi="Times New Roman" w:hint="default"/>
      </w:rPr>
    </w:lvl>
  </w:abstractNum>
  <w:abstractNum w:abstractNumId="13">
    <w:nsid w:val="1C313873"/>
    <w:multiLevelType w:val="singleLevel"/>
    <w:tmpl w:val="F3F8FF82"/>
    <w:lvl w:ilvl="0">
      <w:start w:val="1"/>
      <w:numFmt w:val="bullet"/>
      <w:pStyle w:val="B1"/>
      <w:lvlText w:val=""/>
      <w:lvlJc w:val="left"/>
      <w:pPr>
        <w:tabs>
          <w:tab w:val="num" w:pos="927"/>
        </w:tabs>
        <w:ind w:left="340" w:firstLine="227"/>
      </w:pPr>
      <w:rPr>
        <w:rFonts w:ascii="Symbol" w:hAnsi="Symbol" w:hint="default"/>
      </w:rPr>
    </w:lvl>
  </w:abstractNum>
  <w:abstractNum w:abstractNumId="14">
    <w:nsid w:val="1EB966FE"/>
    <w:multiLevelType w:val="multilevel"/>
    <w:tmpl w:val="916C714C"/>
    <w:lvl w:ilvl="0">
      <w:start w:val="1"/>
      <w:numFmt w:val="decimal"/>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5">
    <w:nsid w:val="432E7DC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52C7646A"/>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D34524C"/>
    <w:multiLevelType w:val="multilevel"/>
    <w:tmpl w:val="841457AC"/>
    <w:lvl w:ilvl="0">
      <w:start w:val="1"/>
      <w:numFmt w:val="decimal"/>
      <w:pStyle w:val="annexe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608C21D2"/>
    <w:multiLevelType w:val="hybridMultilevel"/>
    <w:tmpl w:val="445248D0"/>
    <w:lvl w:ilvl="0" w:tplc="C4EE6D68">
      <w:start w:val="1"/>
      <w:numFmt w:val="bullet"/>
      <w:pStyle w:val="ProposalB1"/>
      <w:lvlText w:val=""/>
      <w:lvlJc w:val="left"/>
      <w:pPr>
        <w:tabs>
          <w:tab w:val="num" w:pos="1440"/>
        </w:tabs>
        <w:ind w:left="1440" w:hanging="360"/>
      </w:pPr>
      <w:rPr>
        <w:rFonts w:ascii="Symbol" w:hAnsi="Symbol" w:hint="default"/>
        <w:color w:val="auto"/>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7BAF4EBA"/>
    <w:multiLevelType w:val="singleLevel"/>
    <w:tmpl w:val="FAEE28A0"/>
    <w:lvl w:ilvl="0">
      <w:start w:val="1"/>
      <w:numFmt w:val="bullet"/>
      <w:pStyle w:val="Termedefinition"/>
      <w:lvlText w:val=""/>
      <w:lvlJc w:val="left"/>
      <w:pPr>
        <w:tabs>
          <w:tab w:val="num" w:pos="360"/>
        </w:tabs>
        <w:ind w:left="284" w:hanging="284"/>
      </w:pPr>
      <w:rPr>
        <w:rFonts w:ascii="Symbol" w:hAnsi="Symbol" w:hint="default"/>
      </w:rPr>
    </w:lvl>
  </w:abstractNum>
  <w:num w:numId="1">
    <w:abstractNumId w:val="12"/>
  </w:num>
  <w:num w:numId="2">
    <w:abstractNumId w:val="11"/>
  </w:num>
  <w:num w:numId="3">
    <w:abstractNumId w:val="19"/>
  </w:num>
  <w:num w:numId="4">
    <w:abstractNumId w:val="17"/>
  </w:num>
  <w:num w:numId="5">
    <w:abstractNumId w:val="18"/>
  </w:num>
  <w:num w:numId="6">
    <w:abstractNumId w:val="14"/>
  </w:num>
  <w:num w:numId="7">
    <w:abstractNumId w:val="13"/>
  </w:num>
  <w:num w:numId="8">
    <w:abstractNumId w:val="16"/>
  </w:num>
  <w:num w:numId="9">
    <w:abstractNumId w:val="10"/>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0CA"/>
    <w:rsid w:val="00082A59"/>
    <w:rsid w:val="0061513C"/>
    <w:rsid w:val="00FE70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tabs>
        <w:tab w:val="left" w:pos="1134"/>
      </w:tabs>
      <w:spacing w:after="60"/>
      <w:ind w:left="708"/>
      <w:jc w:val="both"/>
    </w:pPr>
    <w:rPr>
      <w:rFonts w:ascii="Tw Cen MT" w:hAnsi="Tw Cen MT"/>
      <w:noProof/>
    </w:rPr>
  </w:style>
  <w:style w:type="paragraph" w:styleId="Titre1">
    <w:name w:val="heading 1"/>
    <w:next w:val="Normal"/>
    <w:qFormat/>
    <w:pPr>
      <w:tabs>
        <w:tab w:val="left" w:pos="426"/>
      </w:tabs>
      <w:outlineLvl w:val="0"/>
    </w:pPr>
    <w:rPr>
      <w:rFonts w:ascii="Tw Cen MT" w:hAnsi="Tw Cen MT"/>
      <w:b/>
      <w:noProof/>
      <w:color w:val="0000FF"/>
      <w:sz w:val="22"/>
    </w:rPr>
  </w:style>
  <w:style w:type="paragraph" w:styleId="Titre2">
    <w:name w:val="heading 2"/>
    <w:next w:val="Normal"/>
    <w:qFormat/>
    <w:pPr>
      <w:numPr>
        <w:ilvl w:val="1"/>
        <w:numId w:val="6"/>
      </w:numPr>
      <w:outlineLvl w:val="1"/>
    </w:pPr>
    <w:rPr>
      <w:rFonts w:ascii="Verdana Ref" w:hAnsi="Verdana Ref"/>
      <w:color w:val="0000FF"/>
    </w:rPr>
  </w:style>
  <w:style w:type="paragraph" w:styleId="Titre3">
    <w:name w:val="heading 3"/>
    <w:next w:val="Normal"/>
    <w:qFormat/>
    <w:pPr>
      <w:numPr>
        <w:ilvl w:val="2"/>
        <w:numId w:val="6"/>
      </w:numPr>
      <w:outlineLvl w:val="2"/>
    </w:pPr>
    <w:rPr>
      <w:rFonts w:ascii="Verdana Ref" w:hAnsi="Verdana Ref"/>
      <w:sz w:val="18"/>
    </w:rPr>
  </w:style>
  <w:style w:type="paragraph" w:styleId="Titre4">
    <w:name w:val="heading 4"/>
    <w:basedOn w:val="Normal"/>
    <w:next w:val="Normal"/>
    <w:qFormat/>
    <w:pPr>
      <w:widowControl w:val="0"/>
      <w:numPr>
        <w:ilvl w:val="3"/>
        <w:numId w:val="6"/>
      </w:numPr>
      <w:spacing w:before="240"/>
      <w:outlineLvl w:val="3"/>
    </w:pPr>
    <w:rPr>
      <w:noProof w:val="0"/>
      <w:color w:val="0000FF"/>
    </w:rPr>
  </w:style>
  <w:style w:type="paragraph" w:styleId="Titre5">
    <w:name w:val="heading 5"/>
    <w:basedOn w:val="Normal"/>
    <w:next w:val="Definition"/>
    <w:qFormat/>
    <w:pPr>
      <w:numPr>
        <w:ilvl w:val="4"/>
        <w:numId w:val="6"/>
      </w:numPr>
      <w:spacing w:before="240"/>
      <w:outlineLvl w:val="4"/>
    </w:pPr>
    <w:rPr>
      <w:b/>
      <w:i/>
      <w:caps/>
      <w:sz w:val="16"/>
      <w:u w:val="single"/>
    </w:rPr>
  </w:style>
  <w:style w:type="paragraph" w:styleId="Titre6">
    <w:name w:val="heading 6"/>
    <w:basedOn w:val="Normal"/>
    <w:next w:val="Normal"/>
    <w:qFormat/>
    <w:pPr>
      <w:numPr>
        <w:ilvl w:val="5"/>
        <w:numId w:val="6"/>
      </w:numPr>
      <w:outlineLvl w:val="5"/>
    </w:pPr>
    <w:rPr>
      <w:u w:val="single"/>
    </w:rPr>
  </w:style>
  <w:style w:type="paragraph" w:styleId="Titre7">
    <w:name w:val="heading 7"/>
    <w:basedOn w:val="Normal"/>
    <w:next w:val="Normal"/>
    <w:qFormat/>
    <w:pPr>
      <w:numPr>
        <w:ilvl w:val="6"/>
        <w:numId w:val="6"/>
      </w:numPr>
      <w:outlineLvl w:val="6"/>
    </w:pPr>
    <w:rPr>
      <w:i/>
    </w:rPr>
  </w:style>
  <w:style w:type="paragraph" w:styleId="Titre8">
    <w:name w:val="heading 8"/>
    <w:basedOn w:val="Normal"/>
    <w:next w:val="Normal"/>
    <w:qFormat/>
    <w:pPr>
      <w:numPr>
        <w:ilvl w:val="7"/>
        <w:numId w:val="6"/>
      </w:numPr>
      <w:outlineLvl w:val="7"/>
    </w:pPr>
    <w:rPr>
      <w:i/>
    </w:rPr>
  </w:style>
  <w:style w:type="paragraph" w:styleId="Titre9">
    <w:name w:val="heading 9"/>
    <w:basedOn w:val="Normal"/>
    <w:next w:val="Normal"/>
    <w:qFormat/>
    <w:pPr>
      <w:numPr>
        <w:ilvl w:val="8"/>
        <w:numId w:val="6"/>
      </w:numPr>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pPr>
      <w:numPr>
        <w:numId w:val="7"/>
      </w:numPr>
      <w:tabs>
        <w:tab w:val="left" w:pos="71"/>
        <w:tab w:val="left" w:pos="7443"/>
      </w:tabs>
      <w:spacing w:before="60"/>
    </w:pPr>
    <w:rPr>
      <w:noProof w:val="0"/>
      <w:lang w:val="en-GB"/>
    </w:rPr>
  </w:style>
  <w:style w:type="paragraph" w:customStyle="1" w:styleId="B2">
    <w:name w:val="B2"/>
    <w:basedOn w:val="B1"/>
    <w:pPr>
      <w:numPr>
        <w:numId w:val="1"/>
      </w:numPr>
      <w:tabs>
        <w:tab w:val="clear" w:pos="927"/>
        <w:tab w:val="left" w:pos="1134"/>
      </w:tabs>
      <w:ind w:left="1134" w:hanging="283"/>
    </w:pPr>
  </w:style>
  <w:style w:type="paragraph" w:customStyle="1" w:styleId="B3">
    <w:name w:val="B3"/>
    <w:basedOn w:val="B2"/>
    <w:pPr>
      <w:numPr>
        <w:numId w:val="2"/>
      </w:numPr>
      <w:tabs>
        <w:tab w:val="clear" w:pos="360"/>
        <w:tab w:val="clear" w:pos="1134"/>
        <w:tab w:val="left" w:pos="1418"/>
      </w:tabs>
      <w:spacing w:before="20"/>
      <w:ind w:left="1418" w:hanging="284"/>
    </w:pPr>
  </w:style>
  <w:style w:type="paragraph" w:customStyle="1" w:styleId="Definition">
    <w:name w:val="Definition"/>
    <w:basedOn w:val="Normal"/>
    <w:pPr>
      <w:spacing w:before="120"/>
      <w:ind w:left="1701"/>
    </w:pPr>
    <w:rPr>
      <w:rFonts w:ascii="Univers" w:hAnsi="Univers"/>
      <w:sz w:val="18"/>
    </w:rPr>
  </w:style>
  <w:style w:type="character" w:styleId="Lienhypertexte">
    <w:name w:val="Hyperlink"/>
    <w:semiHidden/>
    <w:rPr>
      <w:color w:val="0000FF"/>
      <w:u w:val="single"/>
    </w:rPr>
  </w:style>
  <w:style w:type="paragraph" w:customStyle="1" w:styleId="Terme">
    <w:name w:val="Terme"/>
    <w:basedOn w:val="Definition"/>
    <w:pPr>
      <w:ind w:left="0"/>
      <w:jc w:val="left"/>
    </w:pPr>
    <w:rPr>
      <w:rFonts w:ascii="Verdana Ref" w:hAnsi="Verdana Ref"/>
      <w:b/>
      <w:color w:val="FF6600"/>
      <w:lang w:val="en-GB"/>
    </w:rPr>
  </w:style>
  <w:style w:type="paragraph" w:styleId="Titre">
    <w:name w:val="Title"/>
    <w:basedOn w:val="Normal"/>
    <w:next w:val="Normal"/>
    <w:qFormat/>
    <w:pPr>
      <w:spacing w:before="120" w:after="120"/>
      <w:jc w:val="center"/>
    </w:pPr>
    <w:rPr>
      <w:color w:val="3366FF"/>
      <w:sz w:val="28"/>
    </w:rPr>
  </w:style>
  <w:style w:type="paragraph" w:styleId="TM1">
    <w:name w:val="toc 1"/>
    <w:basedOn w:val="Normal"/>
    <w:next w:val="Normal"/>
    <w:semiHidden/>
    <w:pPr>
      <w:tabs>
        <w:tab w:val="right" w:leader="underscore" w:pos="9780"/>
      </w:tabs>
      <w:ind w:left="1701"/>
      <w:jc w:val="left"/>
    </w:pPr>
    <w:rPr>
      <w:i/>
      <w:caps/>
      <w:sz w:val="16"/>
    </w:rPr>
  </w:style>
  <w:style w:type="paragraph" w:styleId="TM2">
    <w:name w:val="toc 2"/>
    <w:basedOn w:val="TM1"/>
    <w:next w:val="Normal"/>
    <w:semiHidden/>
    <w:pPr>
      <w:tabs>
        <w:tab w:val="left" w:pos="2410"/>
      </w:tabs>
      <w:spacing w:before="60"/>
      <w:ind w:left="2410" w:hanging="425"/>
    </w:p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left" w:pos="2410"/>
        <w:tab w:val="right" w:leader="dot" w:pos="9389"/>
      </w:tabs>
      <w:ind w:left="2410" w:hanging="1418"/>
    </w:pPr>
  </w:style>
  <w:style w:type="paragraph" w:customStyle="1" w:styleId="Version">
    <w:name w:val="Version"/>
    <w:basedOn w:val="Normal"/>
    <w:pPr>
      <w:jc w:val="right"/>
    </w:pPr>
    <w:rPr>
      <w:i/>
      <w:sz w:val="16"/>
    </w:rPr>
  </w:style>
  <w:style w:type="paragraph" w:customStyle="1" w:styleId="Ttitre4">
    <w:name w:val="Ttitre 4"/>
    <w:basedOn w:val="Titre4"/>
    <w:pPr>
      <w:numPr>
        <w:ilvl w:val="0"/>
        <w:numId w:val="0"/>
      </w:numPr>
    </w:pPr>
    <w:rPr>
      <w:smallCaps/>
      <w:color w:val="auto"/>
      <w:sz w:val="22"/>
      <w:u w:val="single"/>
    </w:rPr>
  </w:style>
  <w:style w:type="paragraph" w:customStyle="1" w:styleId="OmniPage1">
    <w:name w:val="OmniPage #1"/>
    <w:basedOn w:val="Normal"/>
    <w:pPr>
      <w:tabs>
        <w:tab w:val="left" w:pos="3225"/>
      </w:tabs>
      <w:ind w:left="3225" w:right="431"/>
    </w:pPr>
    <w:rPr>
      <w:smallCaps/>
      <w:color w:val="FF0000"/>
    </w:rPr>
  </w:style>
  <w:style w:type="paragraph" w:customStyle="1" w:styleId="Termedefinition">
    <w:name w:val="Terme.definition"/>
    <w:basedOn w:val="Normal"/>
    <w:pPr>
      <w:widowControl w:val="0"/>
      <w:numPr>
        <w:numId w:val="3"/>
      </w:numPr>
    </w:pPr>
    <w:rPr>
      <w:color w:val="FF0000"/>
    </w:rPr>
  </w:style>
  <w:style w:type="paragraph" w:customStyle="1" w:styleId="Dfinition">
    <w:name w:val="Définition"/>
    <w:basedOn w:val="Normal"/>
    <w:pPr>
      <w:widowControl w:val="0"/>
    </w:pPr>
    <w:rPr>
      <w:i/>
    </w:rPr>
  </w:style>
  <w:style w:type="paragraph" w:customStyle="1" w:styleId="annexe1">
    <w:name w:val="annexe1"/>
    <w:basedOn w:val="Normal"/>
    <w:pPr>
      <w:widowControl w:val="0"/>
      <w:numPr>
        <w:numId w:val="4"/>
      </w:numPr>
      <w:jc w:val="center"/>
    </w:pPr>
    <w:rPr>
      <w:smallCaps/>
      <w:color w:val="0000FF"/>
      <w:sz w:val="32"/>
    </w:rPr>
  </w:style>
  <w:style w:type="paragraph" w:customStyle="1" w:styleId="annexe2">
    <w:name w:val="annexe 2"/>
    <w:rPr>
      <w:noProof/>
      <w:color w:val="0000FF"/>
      <w:sz w:val="24"/>
    </w:rPr>
  </w:style>
  <w:style w:type="paragraph" w:customStyle="1" w:styleId="Rfrences">
    <w:name w:val="Références"/>
    <w:basedOn w:val="Normal"/>
    <w:pPr>
      <w:tabs>
        <w:tab w:val="left" w:pos="509"/>
        <w:tab w:val="left" w:pos="5422"/>
        <w:tab w:val="left" w:pos="5920"/>
        <w:tab w:val="right" w:pos="10469"/>
      </w:tabs>
    </w:pPr>
    <w:rPr>
      <w:rFonts w:ascii="Univers" w:hAnsi="Univers"/>
      <w:noProof w:val="0"/>
      <w:sz w:val="12"/>
    </w:rPr>
  </w:style>
  <w:style w:type="paragraph" w:customStyle="1" w:styleId="NormalCentre">
    <w:name w:val="NormalCentre"/>
    <w:basedOn w:val="Titre1"/>
    <w:next w:val="Normal"/>
  </w:style>
  <w:style w:type="paragraph" w:customStyle="1" w:styleId="Proposal">
    <w:name w:val="Proposal"/>
    <w:pPr>
      <w:shd w:val="clear" w:color="auto" w:fill="E0E0E0"/>
    </w:pPr>
    <w:rPr>
      <w:rFonts w:ascii="Comic Sans MS" w:hAnsi="Comic Sans MS"/>
      <w:color w:val="FF6600"/>
      <w:sz w:val="16"/>
    </w:rPr>
  </w:style>
  <w:style w:type="paragraph" w:customStyle="1" w:styleId="ProposalB1">
    <w:name w:val="Proposal B1"/>
    <w:basedOn w:val="Proposal"/>
    <w:pPr>
      <w:numPr>
        <w:numId w:val="5"/>
      </w:numPr>
    </w:pPr>
    <w:rPr>
      <w:u w:val="single"/>
    </w:rPr>
  </w:style>
  <w:style w:type="paragraph" w:customStyle="1" w:styleId="Nom">
    <w:name w:val="Nom"/>
    <w:pPr>
      <w:ind w:right="91"/>
      <w:jc w:val="center"/>
    </w:pPr>
    <w:rPr>
      <w:rFonts w:ascii="Univers" w:hAnsi="Univers"/>
      <w:b/>
      <w:bCs/>
      <w:color w:val="3366FF"/>
    </w:rPr>
  </w:style>
  <w:style w:type="paragraph" w:styleId="Pieddepage">
    <w:name w:val="footer"/>
    <w:basedOn w:val="Normal"/>
    <w:semiHidden/>
    <w:pPr>
      <w:tabs>
        <w:tab w:val="center" w:pos="4536"/>
        <w:tab w:val="right" w:pos="9072"/>
      </w:tabs>
      <w:jc w:val="right"/>
    </w:pPr>
    <w:rPr>
      <w:sz w:val="16"/>
    </w:rPr>
  </w:style>
  <w:style w:type="character" w:styleId="Numrodepage">
    <w:name w:val="page number"/>
    <w:basedOn w:val="Policepardfaut"/>
    <w:semiHidden/>
  </w:style>
  <w:style w:type="paragraph" w:styleId="En-tte">
    <w:name w:val="header"/>
    <w:basedOn w:val="Normal"/>
    <w:semiHidden/>
    <w:pPr>
      <w:tabs>
        <w:tab w:val="clear" w:pos="1134"/>
        <w:tab w:val="center" w:pos="4536"/>
        <w:tab w:val="right" w:pos="9072"/>
      </w:tabs>
    </w:pPr>
  </w:style>
  <w:style w:type="numbering" w:styleId="111111">
    <w:name w:val="Outline List 2"/>
    <w:basedOn w:val="Aucuneliste"/>
    <w:uiPriority w:val="99"/>
    <w:semiHidden/>
    <w:unhideWhenUsed/>
    <w:rsid w:val="00FE70CA"/>
    <w:pPr>
      <w:numPr>
        <w:numId w:val="8"/>
      </w:numPr>
    </w:pPr>
  </w:style>
  <w:style w:type="numbering" w:styleId="1ai">
    <w:name w:val="Outline List 1"/>
    <w:basedOn w:val="Aucuneliste"/>
    <w:uiPriority w:val="99"/>
    <w:semiHidden/>
    <w:unhideWhenUsed/>
    <w:rsid w:val="00FE70CA"/>
    <w:pPr>
      <w:numPr>
        <w:numId w:val="9"/>
      </w:numPr>
    </w:pPr>
  </w:style>
  <w:style w:type="character" w:styleId="Accentuation">
    <w:name w:val="Emphasis"/>
    <w:uiPriority w:val="20"/>
    <w:qFormat/>
    <w:rsid w:val="00FE70CA"/>
    <w:rPr>
      <w:i/>
      <w:iCs/>
    </w:rPr>
  </w:style>
  <w:style w:type="character" w:styleId="AcronymeHTML">
    <w:name w:val="HTML Acronym"/>
    <w:uiPriority w:val="99"/>
    <w:semiHidden/>
    <w:unhideWhenUsed/>
    <w:rsid w:val="00FE70CA"/>
  </w:style>
  <w:style w:type="paragraph" w:styleId="Adressedestinataire">
    <w:name w:val="envelope address"/>
    <w:basedOn w:val="Normal"/>
    <w:uiPriority w:val="99"/>
    <w:semiHidden/>
    <w:unhideWhenUsed/>
    <w:rsid w:val="00FE70CA"/>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FE70CA"/>
    <w:rPr>
      <w:rFonts w:ascii="Cambria" w:hAnsi="Cambria"/>
    </w:rPr>
  </w:style>
  <w:style w:type="paragraph" w:styleId="AdresseHTML">
    <w:name w:val="HTML Address"/>
    <w:basedOn w:val="Normal"/>
    <w:link w:val="AdresseHTMLCar"/>
    <w:uiPriority w:val="99"/>
    <w:semiHidden/>
    <w:unhideWhenUsed/>
    <w:rsid w:val="00FE70CA"/>
    <w:rPr>
      <w:i/>
      <w:iCs/>
    </w:rPr>
  </w:style>
  <w:style w:type="character" w:customStyle="1" w:styleId="AdresseHTMLCar">
    <w:name w:val="Adresse HTML Car"/>
    <w:link w:val="AdresseHTML"/>
    <w:uiPriority w:val="99"/>
    <w:semiHidden/>
    <w:rsid w:val="00FE70CA"/>
    <w:rPr>
      <w:rFonts w:ascii="Tw Cen MT" w:hAnsi="Tw Cen MT"/>
      <w:i/>
      <w:iCs/>
      <w:noProof/>
    </w:rPr>
  </w:style>
  <w:style w:type="character" w:styleId="Appeldenotedefin">
    <w:name w:val="endnote reference"/>
    <w:uiPriority w:val="99"/>
    <w:semiHidden/>
    <w:unhideWhenUsed/>
    <w:rsid w:val="00FE70CA"/>
    <w:rPr>
      <w:vertAlign w:val="superscript"/>
    </w:rPr>
  </w:style>
  <w:style w:type="character" w:styleId="Appelnotedebasdep">
    <w:name w:val="footnote reference"/>
    <w:uiPriority w:val="99"/>
    <w:semiHidden/>
    <w:unhideWhenUsed/>
    <w:rsid w:val="00FE70CA"/>
    <w:rPr>
      <w:vertAlign w:val="superscript"/>
    </w:rPr>
  </w:style>
  <w:style w:type="numbering" w:styleId="ArticleSection">
    <w:name w:val="Outline List 3"/>
    <w:basedOn w:val="Aucuneliste"/>
    <w:uiPriority w:val="99"/>
    <w:semiHidden/>
    <w:unhideWhenUsed/>
    <w:rsid w:val="00FE70CA"/>
    <w:pPr>
      <w:numPr>
        <w:numId w:val="10"/>
      </w:numPr>
    </w:pPr>
  </w:style>
  <w:style w:type="paragraph" w:styleId="Bibliographie">
    <w:name w:val="Bibliography"/>
    <w:basedOn w:val="Normal"/>
    <w:next w:val="Normal"/>
    <w:uiPriority w:val="37"/>
    <w:semiHidden/>
    <w:unhideWhenUsed/>
    <w:rsid w:val="00FE70CA"/>
  </w:style>
  <w:style w:type="paragraph" w:styleId="Citation">
    <w:name w:val="Quote"/>
    <w:basedOn w:val="Normal"/>
    <w:next w:val="Normal"/>
    <w:link w:val="CitationCar"/>
    <w:uiPriority w:val="29"/>
    <w:qFormat/>
    <w:rsid w:val="00FE70CA"/>
    <w:rPr>
      <w:i/>
      <w:iCs/>
      <w:color w:val="000000"/>
    </w:rPr>
  </w:style>
  <w:style w:type="character" w:customStyle="1" w:styleId="CitationCar">
    <w:name w:val="Citation Car"/>
    <w:link w:val="Citation"/>
    <w:uiPriority w:val="29"/>
    <w:rsid w:val="00FE70CA"/>
    <w:rPr>
      <w:rFonts w:ascii="Tw Cen MT" w:hAnsi="Tw Cen MT"/>
      <w:i/>
      <w:iCs/>
      <w:noProof/>
      <w:color w:val="000000"/>
    </w:rPr>
  </w:style>
  <w:style w:type="character" w:styleId="CitationHTML">
    <w:name w:val="HTML Cite"/>
    <w:uiPriority w:val="99"/>
    <w:semiHidden/>
    <w:unhideWhenUsed/>
    <w:rsid w:val="00FE70CA"/>
    <w:rPr>
      <w:i/>
      <w:iCs/>
    </w:rPr>
  </w:style>
  <w:style w:type="paragraph" w:styleId="Citationintense">
    <w:name w:val="Intense Quote"/>
    <w:basedOn w:val="Normal"/>
    <w:next w:val="Normal"/>
    <w:link w:val="CitationintenseCar"/>
    <w:uiPriority w:val="30"/>
    <w:qFormat/>
    <w:rsid w:val="00FE70C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E70CA"/>
    <w:rPr>
      <w:rFonts w:ascii="Tw Cen MT" w:hAnsi="Tw Cen MT"/>
      <w:b/>
      <w:bCs/>
      <w:i/>
      <w:iCs/>
      <w:noProof/>
      <w:color w:val="4F81BD"/>
    </w:rPr>
  </w:style>
  <w:style w:type="character" w:styleId="ClavierHTML">
    <w:name w:val="HTML Keyboard"/>
    <w:uiPriority w:val="99"/>
    <w:semiHidden/>
    <w:unhideWhenUsed/>
    <w:rsid w:val="00FE70CA"/>
    <w:rPr>
      <w:rFonts w:ascii="Courier New" w:hAnsi="Courier New" w:cs="Courier New"/>
      <w:sz w:val="20"/>
      <w:szCs w:val="20"/>
    </w:rPr>
  </w:style>
  <w:style w:type="character" w:styleId="CodeHTML">
    <w:name w:val="HTML Code"/>
    <w:uiPriority w:val="99"/>
    <w:semiHidden/>
    <w:unhideWhenUsed/>
    <w:rsid w:val="00FE70CA"/>
    <w:rPr>
      <w:rFonts w:ascii="Courier New" w:hAnsi="Courier New" w:cs="Courier New"/>
      <w:sz w:val="20"/>
      <w:szCs w:val="20"/>
    </w:rPr>
  </w:style>
  <w:style w:type="table" w:styleId="Colonnesdetableau1">
    <w:name w:val="Table Columns 1"/>
    <w:basedOn w:val="TableauNormal"/>
    <w:uiPriority w:val="99"/>
    <w:semiHidden/>
    <w:unhideWhenUsed/>
    <w:rsid w:val="00FE70CA"/>
    <w:pPr>
      <w:tabs>
        <w:tab w:val="left" w:pos="1134"/>
      </w:tabs>
      <w:spacing w:after="60"/>
      <w:ind w:left="708"/>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E70CA"/>
    <w:pPr>
      <w:tabs>
        <w:tab w:val="left" w:pos="1134"/>
      </w:tabs>
      <w:spacing w:after="60"/>
      <w:ind w:left="708"/>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E70CA"/>
    <w:pPr>
      <w:tabs>
        <w:tab w:val="left" w:pos="1134"/>
      </w:tabs>
      <w:spacing w:after="60"/>
      <w:ind w:left="708"/>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E70CA"/>
    <w:pPr>
      <w:tabs>
        <w:tab w:val="left" w:pos="1134"/>
      </w:tabs>
      <w:spacing w:after="60"/>
      <w:ind w:left="708"/>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E70CA"/>
    <w:pPr>
      <w:tabs>
        <w:tab w:val="left" w:pos="1134"/>
      </w:tabs>
      <w:spacing w:after="60"/>
      <w:ind w:left="708"/>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FE70CA"/>
  </w:style>
  <w:style w:type="character" w:customStyle="1" w:styleId="CommentaireCar">
    <w:name w:val="Commentaire Car"/>
    <w:link w:val="Commentaire"/>
    <w:uiPriority w:val="99"/>
    <w:semiHidden/>
    <w:rsid w:val="00FE70CA"/>
    <w:rPr>
      <w:rFonts w:ascii="Tw Cen MT" w:hAnsi="Tw Cen MT"/>
      <w:noProof/>
    </w:rPr>
  </w:style>
  <w:style w:type="paragraph" w:styleId="Corpsdetexte">
    <w:name w:val="Body Text"/>
    <w:basedOn w:val="Normal"/>
    <w:link w:val="CorpsdetexteCar"/>
    <w:uiPriority w:val="99"/>
    <w:semiHidden/>
    <w:unhideWhenUsed/>
    <w:rsid w:val="00FE70CA"/>
    <w:pPr>
      <w:spacing w:after="120"/>
    </w:pPr>
  </w:style>
  <w:style w:type="character" w:customStyle="1" w:styleId="CorpsdetexteCar">
    <w:name w:val="Corps de texte Car"/>
    <w:link w:val="Corpsdetexte"/>
    <w:uiPriority w:val="99"/>
    <w:semiHidden/>
    <w:rsid w:val="00FE70CA"/>
    <w:rPr>
      <w:rFonts w:ascii="Tw Cen MT" w:hAnsi="Tw Cen MT"/>
      <w:noProof/>
    </w:rPr>
  </w:style>
  <w:style w:type="paragraph" w:styleId="Corpsdetexte2">
    <w:name w:val="Body Text 2"/>
    <w:basedOn w:val="Normal"/>
    <w:link w:val="Corpsdetexte2Car"/>
    <w:uiPriority w:val="99"/>
    <w:semiHidden/>
    <w:unhideWhenUsed/>
    <w:rsid w:val="00FE70CA"/>
    <w:pPr>
      <w:spacing w:after="120" w:line="480" w:lineRule="auto"/>
    </w:pPr>
  </w:style>
  <w:style w:type="character" w:customStyle="1" w:styleId="Corpsdetexte2Car">
    <w:name w:val="Corps de texte 2 Car"/>
    <w:link w:val="Corpsdetexte2"/>
    <w:uiPriority w:val="99"/>
    <w:semiHidden/>
    <w:rsid w:val="00FE70CA"/>
    <w:rPr>
      <w:rFonts w:ascii="Tw Cen MT" w:hAnsi="Tw Cen MT"/>
      <w:noProof/>
    </w:rPr>
  </w:style>
  <w:style w:type="paragraph" w:styleId="Corpsdetexte3">
    <w:name w:val="Body Text 3"/>
    <w:basedOn w:val="Normal"/>
    <w:link w:val="Corpsdetexte3Car"/>
    <w:uiPriority w:val="99"/>
    <w:semiHidden/>
    <w:unhideWhenUsed/>
    <w:rsid w:val="00FE70CA"/>
    <w:pPr>
      <w:spacing w:after="120"/>
    </w:pPr>
    <w:rPr>
      <w:sz w:val="16"/>
      <w:szCs w:val="16"/>
    </w:rPr>
  </w:style>
  <w:style w:type="character" w:customStyle="1" w:styleId="Corpsdetexte3Car">
    <w:name w:val="Corps de texte 3 Car"/>
    <w:link w:val="Corpsdetexte3"/>
    <w:uiPriority w:val="99"/>
    <w:semiHidden/>
    <w:rsid w:val="00FE70CA"/>
    <w:rPr>
      <w:rFonts w:ascii="Tw Cen MT" w:hAnsi="Tw Cen MT"/>
      <w:noProof/>
      <w:sz w:val="16"/>
      <w:szCs w:val="16"/>
    </w:rPr>
  </w:style>
  <w:style w:type="paragraph" w:styleId="Date">
    <w:name w:val="Date"/>
    <w:basedOn w:val="Normal"/>
    <w:next w:val="Normal"/>
    <w:link w:val="DateCar"/>
    <w:uiPriority w:val="99"/>
    <w:semiHidden/>
    <w:unhideWhenUsed/>
    <w:rsid w:val="00FE70CA"/>
  </w:style>
  <w:style w:type="character" w:customStyle="1" w:styleId="DateCar">
    <w:name w:val="Date Car"/>
    <w:link w:val="Date"/>
    <w:uiPriority w:val="99"/>
    <w:semiHidden/>
    <w:rsid w:val="00FE70CA"/>
    <w:rPr>
      <w:rFonts w:ascii="Tw Cen MT" w:hAnsi="Tw Cen MT"/>
      <w:noProof/>
    </w:rPr>
  </w:style>
  <w:style w:type="character" w:styleId="DfinitionHTML">
    <w:name w:val="HTML Definition"/>
    <w:uiPriority w:val="99"/>
    <w:semiHidden/>
    <w:unhideWhenUsed/>
    <w:rsid w:val="00FE70CA"/>
    <w:rPr>
      <w:i/>
      <w:iCs/>
    </w:rPr>
  </w:style>
  <w:style w:type="table" w:styleId="Effetsdetableau3D1">
    <w:name w:val="Table 3D effects 1"/>
    <w:basedOn w:val="TableauNormal"/>
    <w:uiPriority w:val="99"/>
    <w:semiHidden/>
    <w:unhideWhenUsed/>
    <w:rsid w:val="00FE70CA"/>
    <w:pPr>
      <w:tabs>
        <w:tab w:val="left" w:pos="1134"/>
      </w:tabs>
      <w:spacing w:after="60"/>
      <w:ind w:left="708"/>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E70CA"/>
    <w:pPr>
      <w:tabs>
        <w:tab w:val="left" w:pos="1134"/>
      </w:tabs>
      <w:spacing w:after="60"/>
      <w:ind w:left="708"/>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E70CA"/>
    <w:pPr>
      <w:tabs>
        <w:tab w:val="left" w:pos="1134"/>
      </w:tabs>
      <w:spacing w:after="60"/>
      <w:ind w:left="708"/>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FE70CA"/>
    <w:rPr>
      <w:b/>
      <w:bCs/>
    </w:rPr>
  </w:style>
  <w:style w:type="character" w:styleId="Emphaseintense">
    <w:name w:val="Intense Emphasis"/>
    <w:uiPriority w:val="21"/>
    <w:qFormat/>
    <w:rsid w:val="00FE70CA"/>
    <w:rPr>
      <w:b/>
      <w:bCs/>
      <w:i/>
      <w:iCs/>
      <w:color w:val="4F81BD"/>
    </w:rPr>
  </w:style>
  <w:style w:type="character" w:styleId="Emphaseple">
    <w:name w:val="Subtle Emphasis"/>
    <w:uiPriority w:val="19"/>
    <w:qFormat/>
    <w:rsid w:val="00FE70CA"/>
    <w:rPr>
      <w:i/>
      <w:iCs/>
      <w:color w:val="808080"/>
    </w:rPr>
  </w:style>
  <w:style w:type="paragraph" w:styleId="En-ttedemessage">
    <w:name w:val="Message Header"/>
    <w:basedOn w:val="Normal"/>
    <w:link w:val="En-ttedemessageCar"/>
    <w:uiPriority w:val="99"/>
    <w:semiHidden/>
    <w:unhideWhenUsed/>
    <w:rsid w:val="00FE70C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FE70CA"/>
    <w:rPr>
      <w:rFonts w:ascii="Cambria" w:eastAsia="Times New Roman" w:hAnsi="Cambria" w:cs="Times New Roman"/>
      <w:noProof/>
      <w:sz w:val="24"/>
      <w:szCs w:val="24"/>
      <w:shd w:val="pct20" w:color="auto" w:fill="auto"/>
    </w:rPr>
  </w:style>
  <w:style w:type="paragraph" w:styleId="En-ttedetabledesmatires">
    <w:name w:val="TOC Heading"/>
    <w:basedOn w:val="Titre1"/>
    <w:next w:val="Normal"/>
    <w:uiPriority w:val="39"/>
    <w:semiHidden/>
    <w:unhideWhenUsed/>
    <w:qFormat/>
    <w:rsid w:val="00FE70CA"/>
    <w:pPr>
      <w:keepNext/>
      <w:tabs>
        <w:tab w:val="clear" w:pos="426"/>
        <w:tab w:val="left" w:pos="1134"/>
      </w:tabs>
      <w:spacing w:before="240" w:after="60"/>
      <w:ind w:left="708"/>
      <w:jc w:val="both"/>
      <w:outlineLvl w:val="9"/>
    </w:pPr>
    <w:rPr>
      <w:rFonts w:ascii="Cambria" w:hAnsi="Cambria"/>
      <w:bCs/>
      <w:color w:val="auto"/>
      <w:kern w:val="32"/>
      <w:sz w:val="32"/>
      <w:szCs w:val="32"/>
    </w:rPr>
  </w:style>
  <w:style w:type="character" w:styleId="ExempleHTML">
    <w:name w:val="HTML Sample"/>
    <w:uiPriority w:val="99"/>
    <w:semiHidden/>
    <w:unhideWhenUsed/>
    <w:rsid w:val="00FE70CA"/>
    <w:rPr>
      <w:rFonts w:ascii="Courier New" w:hAnsi="Courier New" w:cs="Courier New"/>
    </w:rPr>
  </w:style>
  <w:style w:type="paragraph" w:styleId="Explorateurdedocuments">
    <w:name w:val="Document Map"/>
    <w:basedOn w:val="Normal"/>
    <w:link w:val="ExplorateurdedocumentsCar"/>
    <w:uiPriority w:val="99"/>
    <w:semiHidden/>
    <w:unhideWhenUsed/>
    <w:rsid w:val="00FE70CA"/>
    <w:rPr>
      <w:rFonts w:ascii="Tahoma" w:hAnsi="Tahoma" w:cs="Tahoma"/>
      <w:sz w:val="16"/>
      <w:szCs w:val="16"/>
    </w:rPr>
  </w:style>
  <w:style w:type="character" w:customStyle="1" w:styleId="ExplorateurdedocumentsCar">
    <w:name w:val="Explorateur de documents Car"/>
    <w:link w:val="Explorateurdedocuments"/>
    <w:uiPriority w:val="99"/>
    <w:semiHidden/>
    <w:rsid w:val="00FE70CA"/>
    <w:rPr>
      <w:rFonts w:ascii="Tahoma" w:hAnsi="Tahoma" w:cs="Tahoma"/>
      <w:noProof/>
      <w:sz w:val="16"/>
      <w:szCs w:val="16"/>
    </w:rPr>
  </w:style>
  <w:style w:type="paragraph" w:styleId="Formuledepolitesse">
    <w:name w:val="Closing"/>
    <w:basedOn w:val="Normal"/>
    <w:link w:val="FormuledepolitesseCar"/>
    <w:uiPriority w:val="99"/>
    <w:semiHidden/>
    <w:unhideWhenUsed/>
    <w:rsid w:val="00FE70CA"/>
    <w:pPr>
      <w:ind w:left="4252"/>
    </w:pPr>
  </w:style>
  <w:style w:type="character" w:customStyle="1" w:styleId="FormuledepolitesseCar">
    <w:name w:val="Formule de politesse Car"/>
    <w:link w:val="Formuledepolitesse"/>
    <w:uiPriority w:val="99"/>
    <w:semiHidden/>
    <w:rsid w:val="00FE70CA"/>
    <w:rPr>
      <w:rFonts w:ascii="Tw Cen MT" w:hAnsi="Tw Cen MT"/>
      <w:noProof/>
    </w:rPr>
  </w:style>
  <w:style w:type="table" w:styleId="Grilleclaire">
    <w:name w:val="Light Grid"/>
    <w:basedOn w:val="TableauNormal"/>
    <w:uiPriority w:val="62"/>
    <w:rsid w:val="00FE70CA"/>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E70C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E70CA"/>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E70C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E70CA"/>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E70CA"/>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E70CA"/>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E70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E70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E70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E70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E70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E70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E70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FE70CA"/>
    <w:pPr>
      <w:tabs>
        <w:tab w:val="left" w:pos="1134"/>
      </w:tabs>
      <w:spacing w:after="60"/>
      <w:ind w:left="708"/>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E70CA"/>
    <w:pPr>
      <w:tabs>
        <w:tab w:val="left" w:pos="1134"/>
      </w:tabs>
      <w:spacing w:after="60"/>
      <w:ind w:left="708"/>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E70CA"/>
    <w:pPr>
      <w:tabs>
        <w:tab w:val="left" w:pos="1134"/>
      </w:tabs>
      <w:spacing w:after="60"/>
      <w:ind w:left="708"/>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E70CA"/>
    <w:pPr>
      <w:tabs>
        <w:tab w:val="left" w:pos="1134"/>
      </w:tabs>
      <w:spacing w:after="60"/>
      <w:ind w:left="708"/>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E70CA"/>
    <w:pPr>
      <w:tabs>
        <w:tab w:val="left" w:pos="1134"/>
      </w:tabs>
      <w:spacing w:after="60"/>
      <w:ind w:left="708"/>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E70CA"/>
    <w:pPr>
      <w:tabs>
        <w:tab w:val="left" w:pos="1134"/>
      </w:tabs>
      <w:spacing w:after="60"/>
      <w:ind w:left="708"/>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E70CA"/>
    <w:pPr>
      <w:tabs>
        <w:tab w:val="left" w:pos="1134"/>
      </w:tabs>
      <w:spacing w:after="60"/>
      <w:ind w:left="708"/>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E70CA"/>
    <w:pPr>
      <w:tabs>
        <w:tab w:val="left" w:pos="1134"/>
      </w:tabs>
      <w:spacing w:after="60"/>
      <w:ind w:left="708"/>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FE70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E70C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E70C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E70C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E70C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E70C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E70C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E70C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E70C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E70C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E70C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E70C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E70C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E70C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E70C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E70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E70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E70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E70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E70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E70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E70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FE70CA"/>
    <w:pPr>
      <w:tabs>
        <w:tab w:val="clear" w:pos="1134"/>
      </w:tabs>
      <w:ind w:left="200" w:hanging="200"/>
    </w:pPr>
  </w:style>
  <w:style w:type="paragraph" w:styleId="Index2">
    <w:name w:val="index 2"/>
    <w:basedOn w:val="Normal"/>
    <w:next w:val="Normal"/>
    <w:uiPriority w:val="99"/>
    <w:semiHidden/>
    <w:unhideWhenUsed/>
    <w:rsid w:val="00FE70CA"/>
    <w:pPr>
      <w:tabs>
        <w:tab w:val="clear" w:pos="1134"/>
      </w:tabs>
      <w:ind w:left="400" w:hanging="200"/>
    </w:pPr>
  </w:style>
  <w:style w:type="paragraph" w:styleId="Index3">
    <w:name w:val="index 3"/>
    <w:basedOn w:val="Normal"/>
    <w:next w:val="Normal"/>
    <w:uiPriority w:val="99"/>
    <w:semiHidden/>
    <w:unhideWhenUsed/>
    <w:rsid w:val="00FE70CA"/>
    <w:pPr>
      <w:tabs>
        <w:tab w:val="clear" w:pos="1134"/>
      </w:tabs>
      <w:ind w:left="600" w:hanging="200"/>
    </w:pPr>
  </w:style>
  <w:style w:type="paragraph" w:styleId="Index4">
    <w:name w:val="index 4"/>
    <w:basedOn w:val="Normal"/>
    <w:next w:val="Normal"/>
    <w:uiPriority w:val="99"/>
    <w:semiHidden/>
    <w:unhideWhenUsed/>
    <w:rsid w:val="00FE70CA"/>
    <w:pPr>
      <w:tabs>
        <w:tab w:val="clear" w:pos="1134"/>
      </w:tabs>
      <w:ind w:left="800" w:hanging="200"/>
    </w:pPr>
  </w:style>
  <w:style w:type="paragraph" w:styleId="Index5">
    <w:name w:val="index 5"/>
    <w:basedOn w:val="Normal"/>
    <w:next w:val="Normal"/>
    <w:uiPriority w:val="99"/>
    <w:semiHidden/>
    <w:unhideWhenUsed/>
    <w:rsid w:val="00FE70CA"/>
    <w:pPr>
      <w:tabs>
        <w:tab w:val="clear" w:pos="1134"/>
      </w:tabs>
      <w:ind w:left="1000" w:hanging="200"/>
    </w:pPr>
  </w:style>
  <w:style w:type="paragraph" w:styleId="Index6">
    <w:name w:val="index 6"/>
    <w:basedOn w:val="Normal"/>
    <w:next w:val="Normal"/>
    <w:uiPriority w:val="99"/>
    <w:semiHidden/>
    <w:unhideWhenUsed/>
    <w:rsid w:val="00FE70CA"/>
    <w:pPr>
      <w:tabs>
        <w:tab w:val="clear" w:pos="1134"/>
      </w:tabs>
      <w:ind w:left="1200" w:hanging="200"/>
    </w:pPr>
  </w:style>
  <w:style w:type="paragraph" w:styleId="Index7">
    <w:name w:val="index 7"/>
    <w:basedOn w:val="Normal"/>
    <w:next w:val="Normal"/>
    <w:uiPriority w:val="99"/>
    <w:semiHidden/>
    <w:unhideWhenUsed/>
    <w:rsid w:val="00FE70CA"/>
    <w:pPr>
      <w:tabs>
        <w:tab w:val="clear" w:pos="1134"/>
      </w:tabs>
      <w:ind w:left="1400" w:hanging="200"/>
    </w:pPr>
  </w:style>
  <w:style w:type="paragraph" w:styleId="Index8">
    <w:name w:val="index 8"/>
    <w:basedOn w:val="Normal"/>
    <w:next w:val="Normal"/>
    <w:uiPriority w:val="99"/>
    <w:semiHidden/>
    <w:unhideWhenUsed/>
    <w:rsid w:val="00FE70CA"/>
    <w:pPr>
      <w:tabs>
        <w:tab w:val="clear" w:pos="1134"/>
      </w:tabs>
      <w:ind w:left="1600" w:hanging="200"/>
    </w:pPr>
  </w:style>
  <w:style w:type="paragraph" w:styleId="Index9">
    <w:name w:val="index 9"/>
    <w:basedOn w:val="Normal"/>
    <w:next w:val="Normal"/>
    <w:uiPriority w:val="99"/>
    <w:semiHidden/>
    <w:unhideWhenUsed/>
    <w:rsid w:val="00FE70CA"/>
    <w:pPr>
      <w:tabs>
        <w:tab w:val="clear" w:pos="1134"/>
      </w:tabs>
      <w:ind w:left="1800" w:hanging="200"/>
    </w:pPr>
  </w:style>
  <w:style w:type="paragraph" w:styleId="Lgende">
    <w:name w:val="caption"/>
    <w:basedOn w:val="Normal"/>
    <w:next w:val="Normal"/>
    <w:uiPriority w:val="35"/>
    <w:semiHidden/>
    <w:unhideWhenUsed/>
    <w:qFormat/>
    <w:rsid w:val="00FE70CA"/>
    <w:rPr>
      <w:b/>
      <w:bCs/>
    </w:rPr>
  </w:style>
  <w:style w:type="character" w:styleId="Lienhypertextesuivivisit">
    <w:name w:val="FollowedHyperlink"/>
    <w:uiPriority w:val="99"/>
    <w:semiHidden/>
    <w:unhideWhenUsed/>
    <w:rsid w:val="00FE70CA"/>
    <w:rPr>
      <w:color w:val="800080"/>
      <w:u w:val="single"/>
    </w:rPr>
  </w:style>
  <w:style w:type="paragraph" w:styleId="Liste">
    <w:name w:val="List"/>
    <w:basedOn w:val="Normal"/>
    <w:uiPriority w:val="99"/>
    <w:semiHidden/>
    <w:unhideWhenUsed/>
    <w:rsid w:val="00FE70CA"/>
    <w:pPr>
      <w:ind w:left="283" w:hanging="283"/>
      <w:contextualSpacing/>
    </w:pPr>
  </w:style>
  <w:style w:type="paragraph" w:styleId="Liste2">
    <w:name w:val="List 2"/>
    <w:basedOn w:val="Normal"/>
    <w:uiPriority w:val="99"/>
    <w:semiHidden/>
    <w:unhideWhenUsed/>
    <w:rsid w:val="00FE70CA"/>
    <w:pPr>
      <w:ind w:left="566" w:hanging="283"/>
      <w:contextualSpacing/>
    </w:pPr>
  </w:style>
  <w:style w:type="paragraph" w:styleId="Liste3">
    <w:name w:val="List 3"/>
    <w:basedOn w:val="Normal"/>
    <w:uiPriority w:val="99"/>
    <w:semiHidden/>
    <w:unhideWhenUsed/>
    <w:rsid w:val="00FE70CA"/>
    <w:pPr>
      <w:ind w:left="849" w:hanging="283"/>
      <w:contextualSpacing/>
    </w:pPr>
  </w:style>
  <w:style w:type="paragraph" w:styleId="Liste4">
    <w:name w:val="List 4"/>
    <w:basedOn w:val="Normal"/>
    <w:uiPriority w:val="99"/>
    <w:semiHidden/>
    <w:unhideWhenUsed/>
    <w:rsid w:val="00FE70CA"/>
    <w:pPr>
      <w:ind w:left="1132" w:hanging="283"/>
      <w:contextualSpacing/>
    </w:pPr>
  </w:style>
  <w:style w:type="paragraph" w:styleId="Liste5">
    <w:name w:val="List 5"/>
    <w:basedOn w:val="Normal"/>
    <w:uiPriority w:val="99"/>
    <w:semiHidden/>
    <w:unhideWhenUsed/>
    <w:rsid w:val="00FE70CA"/>
    <w:pPr>
      <w:ind w:left="1415" w:hanging="283"/>
      <w:contextualSpacing/>
    </w:pPr>
  </w:style>
  <w:style w:type="paragraph" w:styleId="Listenumros">
    <w:name w:val="List Number"/>
    <w:basedOn w:val="Normal"/>
    <w:uiPriority w:val="99"/>
    <w:semiHidden/>
    <w:unhideWhenUsed/>
    <w:rsid w:val="00FE70CA"/>
    <w:pPr>
      <w:numPr>
        <w:numId w:val="11"/>
      </w:numPr>
      <w:contextualSpacing/>
    </w:pPr>
  </w:style>
  <w:style w:type="paragraph" w:styleId="Listenumros2">
    <w:name w:val="List Number 2"/>
    <w:basedOn w:val="Normal"/>
    <w:uiPriority w:val="99"/>
    <w:semiHidden/>
    <w:unhideWhenUsed/>
    <w:rsid w:val="00FE70CA"/>
    <w:pPr>
      <w:numPr>
        <w:numId w:val="12"/>
      </w:numPr>
      <w:contextualSpacing/>
    </w:pPr>
  </w:style>
  <w:style w:type="paragraph" w:styleId="Listenumros3">
    <w:name w:val="List Number 3"/>
    <w:basedOn w:val="Normal"/>
    <w:uiPriority w:val="99"/>
    <w:semiHidden/>
    <w:unhideWhenUsed/>
    <w:rsid w:val="00FE70CA"/>
    <w:pPr>
      <w:numPr>
        <w:numId w:val="13"/>
      </w:numPr>
      <w:contextualSpacing/>
    </w:pPr>
  </w:style>
  <w:style w:type="paragraph" w:styleId="Listenumros4">
    <w:name w:val="List Number 4"/>
    <w:basedOn w:val="Normal"/>
    <w:uiPriority w:val="99"/>
    <w:semiHidden/>
    <w:unhideWhenUsed/>
    <w:rsid w:val="00FE70CA"/>
    <w:pPr>
      <w:numPr>
        <w:numId w:val="14"/>
      </w:numPr>
      <w:contextualSpacing/>
    </w:pPr>
  </w:style>
  <w:style w:type="paragraph" w:styleId="Listenumros5">
    <w:name w:val="List Number 5"/>
    <w:basedOn w:val="Normal"/>
    <w:uiPriority w:val="99"/>
    <w:semiHidden/>
    <w:unhideWhenUsed/>
    <w:rsid w:val="00FE70CA"/>
    <w:pPr>
      <w:numPr>
        <w:numId w:val="15"/>
      </w:numPr>
      <w:contextualSpacing/>
    </w:pPr>
  </w:style>
  <w:style w:type="paragraph" w:styleId="Listepuces">
    <w:name w:val="List Bullet"/>
    <w:basedOn w:val="Normal"/>
    <w:uiPriority w:val="99"/>
    <w:semiHidden/>
    <w:unhideWhenUsed/>
    <w:rsid w:val="00FE70CA"/>
    <w:pPr>
      <w:numPr>
        <w:numId w:val="16"/>
      </w:numPr>
      <w:contextualSpacing/>
    </w:pPr>
  </w:style>
  <w:style w:type="paragraph" w:styleId="Listepuces2">
    <w:name w:val="List Bullet 2"/>
    <w:basedOn w:val="Normal"/>
    <w:uiPriority w:val="99"/>
    <w:semiHidden/>
    <w:unhideWhenUsed/>
    <w:rsid w:val="00FE70CA"/>
    <w:pPr>
      <w:numPr>
        <w:numId w:val="17"/>
      </w:numPr>
      <w:contextualSpacing/>
    </w:pPr>
  </w:style>
  <w:style w:type="paragraph" w:styleId="Listepuces3">
    <w:name w:val="List Bullet 3"/>
    <w:basedOn w:val="Normal"/>
    <w:uiPriority w:val="99"/>
    <w:semiHidden/>
    <w:unhideWhenUsed/>
    <w:rsid w:val="00FE70CA"/>
    <w:pPr>
      <w:numPr>
        <w:numId w:val="18"/>
      </w:numPr>
      <w:contextualSpacing/>
    </w:pPr>
  </w:style>
  <w:style w:type="paragraph" w:styleId="Listepuces4">
    <w:name w:val="List Bullet 4"/>
    <w:basedOn w:val="Normal"/>
    <w:uiPriority w:val="99"/>
    <w:semiHidden/>
    <w:unhideWhenUsed/>
    <w:rsid w:val="00FE70CA"/>
    <w:pPr>
      <w:numPr>
        <w:numId w:val="19"/>
      </w:numPr>
      <w:contextualSpacing/>
    </w:pPr>
  </w:style>
  <w:style w:type="paragraph" w:styleId="Listepuces5">
    <w:name w:val="List Bullet 5"/>
    <w:basedOn w:val="Normal"/>
    <w:uiPriority w:val="99"/>
    <w:semiHidden/>
    <w:unhideWhenUsed/>
    <w:rsid w:val="00FE70CA"/>
    <w:pPr>
      <w:numPr>
        <w:numId w:val="20"/>
      </w:numPr>
      <w:contextualSpacing/>
    </w:pPr>
  </w:style>
  <w:style w:type="table" w:styleId="Listeclaire">
    <w:name w:val="Light List"/>
    <w:basedOn w:val="TableauNormal"/>
    <w:uiPriority w:val="61"/>
    <w:rsid w:val="00FE70C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E70C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E70CA"/>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E70C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E70C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E70CA"/>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E70CA"/>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FE70CA"/>
    <w:pPr>
      <w:spacing w:after="120"/>
      <w:ind w:left="283"/>
      <w:contextualSpacing/>
    </w:pPr>
  </w:style>
  <w:style w:type="paragraph" w:styleId="Listecontinue2">
    <w:name w:val="List Continue 2"/>
    <w:basedOn w:val="Normal"/>
    <w:uiPriority w:val="99"/>
    <w:semiHidden/>
    <w:unhideWhenUsed/>
    <w:rsid w:val="00FE70CA"/>
    <w:pPr>
      <w:spacing w:after="120"/>
      <w:ind w:left="566"/>
      <w:contextualSpacing/>
    </w:pPr>
  </w:style>
  <w:style w:type="paragraph" w:styleId="Listecontinue3">
    <w:name w:val="List Continue 3"/>
    <w:basedOn w:val="Normal"/>
    <w:uiPriority w:val="99"/>
    <w:semiHidden/>
    <w:unhideWhenUsed/>
    <w:rsid w:val="00FE70CA"/>
    <w:pPr>
      <w:spacing w:after="120"/>
      <w:ind w:left="849"/>
      <w:contextualSpacing/>
    </w:pPr>
  </w:style>
  <w:style w:type="paragraph" w:styleId="Listecontinue4">
    <w:name w:val="List Continue 4"/>
    <w:basedOn w:val="Normal"/>
    <w:uiPriority w:val="99"/>
    <w:semiHidden/>
    <w:unhideWhenUsed/>
    <w:rsid w:val="00FE70CA"/>
    <w:pPr>
      <w:spacing w:after="120"/>
      <w:ind w:left="1132"/>
      <w:contextualSpacing/>
    </w:pPr>
  </w:style>
  <w:style w:type="paragraph" w:styleId="Listecontinue5">
    <w:name w:val="List Continue 5"/>
    <w:basedOn w:val="Normal"/>
    <w:uiPriority w:val="99"/>
    <w:semiHidden/>
    <w:unhideWhenUsed/>
    <w:rsid w:val="00FE70CA"/>
    <w:pPr>
      <w:spacing w:after="120"/>
      <w:ind w:left="1415"/>
      <w:contextualSpacing/>
    </w:pPr>
  </w:style>
  <w:style w:type="table" w:styleId="Listecouleur">
    <w:name w:val="Colorful List"/>
    <w:basedOn w:val="TableauNormal"/>
    <w:uiPriority w:val="72"/>
    <w:rsid w:val="00FE70CA"/>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E70CA"/>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E70CA"/>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E70CA"/>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E70CA"/>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E70CA"/>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E70CA"/>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E70CA"/>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E70CA"/>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E70CA"/>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E70CA"/>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E70CA"/>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E70CA"/>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E70CA"/>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E70C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E70CA"/>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E70CA"/>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E70CA"/>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E70CA"/>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E70CA"/>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E70CA"/>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E70C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E70C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E70C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E70C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E70C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E70C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E70C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FE70CA"/>
    <w:rPr>
      <w:rFonts w:ascii="Courier New" w:hAnsi="Courier New" w:cs="Courier New"/>
      <w:sz w:val="20"/>
      <w:szCs w:val="20"/>
    </w:rPr>
  </w:style>
  <w:style w:type="character" w:styleId="Marquedecommentaire">
    <w:name w:val="annotation reference"/>
    <w:uiPriority w:val="99"/>
    <w:semiHidden/>
    <w:unhideWhenUsed/>
    <w:rsid w:val="00FE70CA"/>
    <w:rPr>
      <w:sz w:val="16"/>
      <w:szCs w:val="16"/>
    </w:rPr>
  </w:style>
  <w:style w:type="paragraph" w:styleId="NormalWeb">
    <w:name w:val="Normal (Web)"/>
    <w:basedOn w:val="Normal"/>
    <w:uiPriority w:val="99"/>
    <w:semiHidden/>
    <w:unhideWhenUsed/>
    <w:rsid w:val="00FE70CA"/>
    <w:rPr>
      <w:rFonts w:ascii="Times New Roman" w:hAnsi="Times New Roman"/>
      <w:sz w:val="24"/>
      <w:szCs w:val="24"/>
    </w:rPr>
  </w:style>
  <w:style w:type="paragraph" w:styleId="Normalcentr">
    <w:name w:val="Block Text"/>
    <w:basedOn w:val="Normal"/>
    <w:uiPriority w:val="99"/>
    <w:semiHidden/>
    <w:unhideWhenUsed/>
    <w:rsid w:val="00FE70CA"/>
    <w:pPr>
      <w:spacing w:after="120"/>
      <w:ind w:left="1440" w:right="1440"/>
    </w:pPr>
  </w:style>
  <w:style w:type="paragraph" w:styleId="Notedebasdepage">
    <w:name w:val="footnote text"/>
    <w:basedOn w:val="Normal"/>
    <w:link w:val="NotedebasdepageCar"/>
    <w:uiPriority w:val="99"/>
    <w:semiHidden/>
    <w:unhideWhenUsed/>
    <w:rsid w:val="00FE70CA"/>
  </w:style>
  <w:style w:type="character" w:customStyle="1" w:styleId="NotedebasdepageCar">
    <w:name w:val="Note de bas de page Car"/>
    <w:link w:val="Notedebasdepage"/>
    <w:uiPriority w:val="99"/>
    <w:semiHidden/>
    <w:rsid w:val="00FE70CA"/>
    <w:rPr>
      <w:rFonts w:ascii="Tw Cen MT" w:hAnsi="Tw Cen MT"/>
      <w:noProof/>
    </w:rPr>
  </w:style>
  <w:style w:type="paragraph" w:styleId="Notedefin">
    <w:name w:val="endnote text"/>
    <w:basedOn w:val="Normal"/>
    <w:link w:val="NotedefinCar"/>
    <w:uiPriority w:val="99"/>
    <w:semiHidden/>
    <w:unhideWhenUsed/>
    <w:rsid w:val="00FE70CA"/>
  </w:style>
  <w:style w:type="character" w:customStyle="1" w:styleId="NotedefinCar">
    <w:name w:val="Note de fin Car"/>
    <w:link w:val="Notedefin"/>
    <w:uiPriority w:val="99"/>
    <w:semiHidden/>
    <w:rsid w:val="00FE70CA"/>
    <w:rPr>
      <w:rFonts w:ascii="Tw Cen MT" w:hAnsi="Tw Cen MT"/>
      <w:noProof/>
    </w:rPr>
  </w:style>
  <w:style w:type="character" w:styleId="Numrodeligne">
    <w:name w:val="line number"/>
    <w:uiPriority w:val="99"/>
    <w:semiHidden/>
    <w:unhideWhenUsed/>
    <w:rsid w:val="00FE70CA"/>
  </w:style>
  <w:style w:type="paragraph" w:styleId="Objetducommentaire">
    <w:name w:val="annotation subject"/>
    <w:basedOn w:val="Commentaire"/>
    <w:next w:val="Commentaire"/>
    <w:link w:val="ObjetducommentaireCar"/>
    <w:uiPriority w:val="99"/>
    <w:semiHidden/>
    <w:unhideWhenUsed/>
    <w:rsid w:val="00FE70CA"/>
    <w:rPr>
      <w:b/>
      <w:bCs/>
    </w:rPr>
  </w:style>
  <w:style w:type="character" w:customStyle="1" w:styleId="ObjetducommentaireCar">
    <w:name w:val="Objet du commentaire Car"/>
    <w:link w:val="Objetducommentaire"/>
    <w:uiPriority w:val="99"/>
    <w:semiHidden/>
    <w:rsid w:val="00FE70CA"/>
    <w:rPr>
      <w:rFonts w:ascii="Tw Cen MT" w:hAnsi="Tw Cen MT"/>
      <w:b/>
      <w:bCs/>
      <w:noProof/>
    </w:rPr>
  </w:style>
  <w:style w:type="table" w:styleId="Ombrageclair">
    <w:name w:val="Light Shading"/>
    <w:basedOn w:val="TableauNormal"/>
    <w:uiPriority w:val="60"/>
    <w:rsid w:val="00FE70C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E70CA"/>
  </w:style>
  <w:style w:type="paragraph" w:styleId="PrformatHTML">
    <w:name w:val="HTML Preformatted"/>
    <w:basedOn w:val="Normal"/>
    <w:link w:val="PrformatHTMLCar"/>
    <w:uiPriority w:val="99"/>
    <w:semiHidden/>
    <w:unhideWhenUsed/>
    <w:rsid w:val="00FE70CA"/>
    <w:rPr>
      <w:rFonts w:ascii="Courier New" w:hAnsi="Courier New" w:cs="Courier New"/>
    </w:rPr>
  </w:style>
  <w:style w:type="character" w:customStyle="1" w:styleId="PrformatHTMLCar">
    <w:name w:val="Préformaté HTML Car"/>
    <w:link w:val="PrformatHTML"/>
    <w:uiPriority w:val="99"/>
    <w:semiHidden/>
    <w:rsid w:val="00FE70CA"/>
    <w:rPr>
      <w:rFonts w:ascii="Courier New" w:hAnsi="Courier New" w:cs="Courier New"/>
      <w:noProof/>
    </w:rPr>
  </w:style>
  <w:style w:type="character" w:styleId="Rfrenceintense">
    <w:name w:val="Intense Reference"/>
    <w:uiPriority w:val="32"/>
    <w:qFormat/>
    <w:rsid w:val="00FE70CA"/>
    <w:rPr>
      <w:b/>
      <w:bCs/>
      <w:smallCaps/>
      <w:color w:val="C0504D"/>
      <w:spacing w:val="5"/>
      <w:u w:val="single"/>
    </w:rPr>
  </w:style>
  <w:style w:type="character" w:styleId="Rfrenceple">
    <w:name w:val="Subtle Reference"/>
    <w:uiPriority w:val="31"/>
    <w:qFormat/>
    <w:rsid w:val="00FE70CA"/>
    <w:rPr>
      <w:smallCaps/>
      <w:color w:val="C0504D"/>
      <w:u w:val="single"/>
    </w:rPr>
  </w:style>
  <w:style w:type="paragraph" w:styleId="Retrait1religne">
    <w:name w:val="Body Text First Indent"/>
    <w:basedOn w:val="Corpsdetexte"/>
    <w:link w:val="Retrait1religneCar"/>
    <w:uiPriority w:val="99"/>
    <w:semiHidden/>
    <w:unhideWhenUsed/>
    <w:rsid w:val="00FE70CA"/>
    <w:pPr>
      <w:ind w:firstLine="210"/>
    </w:pPr>
  </w:style>
  <w:style w:type="character" w:customStyle="1" w:styleId="Retrait1religneCar">
    <w:name w:val="Retrait 1re ligne Car"/>
    <w:basedOn w:val="CorpsdetexteCar"/>
    <w:link w:val="Retrait1religne"/>
    <w:uiPriority w:val="99"/>
    <w:semiHidden/>
    <w:rsid w:val="00FE70CA"/>
    <w:rPr>
      <w:rFonts w:ascii="Tw Cen MT" w:hAnsi="Tw Cen MT"/>
      <w:noProof/>
    </w:rPr>
  </w:style>
  <w:style w:type="paragraph" w:styleId="Retraitcorpsdetexte">
    <w:name w:val="Body Text Indent"/>
    <w:basedOn w:val="Normal"/>
    <w:link w:val="RetraitcorpsdetexteCar"/>
    <w:uiPriority w:val="99"/>
    <w:semiHidden/>
    <w:unhideWhenUsed/>
    <w:rsid w:val="00FE70CA"/>
    <w:pPr>
      <w:spacing w:after="120"/>
      <w:ind w:left="283"/>
    </w:pPr>
  </w:style>
  <w:style w:type="character" w:customStyle="1" w:styleId="RetraitcorpsdetexteCar">
    <w:name w:val="Retrait corps de texte Car"/>
    <w:link w:val="Retraitcorpsdetexte"/>
    <w:uiPriority w:val="99"/>
    <w:semiHidden/>
    <w:rsid w:val="00FE70CA"/>
    <w:rPr>
      <w:rFonts w:ascii="Tw Cen MT" w:hAnsi="Tw Cen MT"/>
      <w:noProof/>
    </w:rPr>
  </w:style>
  <w:style w:type="paragraph" w:styleId="Retraitcorpsdetexte2">
    <w:name w:val="Body Text Indent 2"/>
    <w:basedOn w:val="Normal"/>
    <w:link w:val="Retraitcorpsdetexte2Car"/>
    <w:uiPriority w:val="99"/>
    <w:semiHidden/>
    <w:unhideWhenUsed/>
    <w:rsid w:val="00FE70CA"/>
    <w:pPr>
      <w:spacing w:after="120" w:line="480" w:lineRule="auto"/>
      <w:ind w:left="283"/>
    </w:pPr>
  </w:style>
  <w:style w:type="character" w:customStyle="1" w:styleId="Retraitcorpsdetexte2Car">
    <w:name w:val="Retrait corps de texte 2 Car"/>
    <w:link w:val="Retraitcorpsdetexte2"/>
    <w:uiPriority w:val="99"/>
    <w:semiHidden/>
    <w:rsid w:val="00FE70CA"/>
    <w:rPr>
      <w:rFonts w:ascii="Tw Cen MT" w:hAnsi="Tw Cen MT"/>
      <w:noProof/>
    </w:rPr>
  </w:style>
  <w:style w:type="paragraph" w:styleId="Retraitcorpsdetexte3">
    <w:name w:val="Body Text Indent 3"/>
    <w:basedOn w:val="Normal"/>
    <w:link w:val="Retraitcorpsdetexte3Car"/>
    <w:uiPriority w:val="99"/>
    <w:semiHidden/>
    <w:unhideWhenUsed/>
    <w:rsid w:val="00FE70CA"/>
    <w:pPr>
      <w:spacing w:after="120"/>
      <w:ind w:left="283"/>
    </w:pPr>
    <w:rPr>
      <w:sz w:val="16"/>
      <w:szCs w:val="16"/>
    </w:rPr>
  </w:style>
  <w:style w:type="character" w:customStyle="1" w:styleId="Retraitcorpsdetexte3Car">
    <w:name w:val="Retrait corps de texte 3 Car"/>
    <w:link w:val="Retraitcorpsdetexte3"/>
    <w:uiPriority w:val="99"/>
    <w:semiHidden/>
    <w:rsid w:val="00FE70CA"/>
    <w:rPr>
      <w:rFonts w:ascii="Tw Cen MT" w:hAnsi="Tw Cen MT"/>
      <w:noProof/>
      <w:sz w:val="16"/>
      <w:szCs w:val="16"/>
    </w:rPr>
  </w:style>
  <w:style w:type="paragraph" w:styleId="Retraitcorpset1relig">
    <w:name w:val="Body Text First Indent 2"/>
    <w:basedOn w:val="Retraitcorpsdetexte"/>
    <w:link w:val="Retraitcorpset1religCar"/>
    <w:uiPriority w:val="99"/>
    <w:semiHidden/>
    <w:unhideWhenUsed/>
    <w:rsid w:val="00FE70CA"/>
    <w:pPr>
      <w:ind w:firstLine="210"/>
    </w:pPr>
  </w:style>
  <w:style w:type="character" w:customStyle="1" w:styleId="Retraitcorpset1religCar">
    <w:name w:val="Retrait corps et 1re lig. Car"/>
    <w:basedOn w:val="RetraitcorpsdetexteCar"/>
    <w:link w:val="Retraitcorpset1relig"/>
    <w:uiPriority w:val="99"/>
    <w:semiHidden/>
    <w:rsid w:val="00FE70CA"/>
    <w:rPr>
      <w:rFonts w:ascii="Tw Cen MT" w:hAnsi="Tw Cen MT"/>
      <w:noProof/>
    </w:rPr>
  </w:style>
  <w:style w:type="paragraph" w:styleId="Retraitnormal">
    <w:name w:val="Normal Indent"/>
    <w:basedOn w:val="Normal"/>
    <w:uiPriority w:val="99"/>
    <w:semiHidden/>
    <w:unhideWhenUsed/>
    <w:rsid w:val="00FE70CA"/>
  </w:style>
  <w:style w:type="paragraph" w:styleId="Salutations">
    <w:name w:val="Salutation"/>
    <w:basedOn w:val="Normal"/>
    <w:next w:val="Normal"/>
    <w:link w:val="SalutationsCar"/>
    <w:uiPriority w:val="99"/>
    <w:semiHidden/>
    <w:unhideWhenUsed/>
    <w:rsid w:val="00FE70CA"/>
  </w:style>
  <w:style w:type="character" w:customStyle="1" w:styleId="SalutationsCar">
    <w:name w:val="Salutations Car"/>
    <w:link w:val="Salutations"/>
    <w:uiPriority w:val="99"/>
    <w:semiHidden/>
    <w:rsid w:val="00FE70CA"/>
    <w:rPr>
      <w:rFonts w:ascii="Tw Cen MT" w:hAnsi="Tw Cen MT"/>
      <w:noProof/>
    </w:rPr>
  </w:style>
  <w:style w:type="paragraph" w:styleId="Sansinterligne">
    <w:name w:val="No Spacing"/>
    <w:uiPriority w:val="1"/>
    <w:qFormat/>
    <w:rsid w:val="00FE70CA"/>
    <w:pPr>
      <w:tabs>
        <w:tab w:val="left" w:pos="1134"/>
      </w:tabs>
      <w:ind w:left="708"/>
      <w:jc w:val="both"/>
    </w:pPr>
    <w:rPr>
      <w:rFonts w:ascii="Tw Cen MT" w:hAnsi="Tw Cen MT"/>
      <w:noProof/>
    </w:rPr>
  </w:style>
  <w:style w:type="paragraph" w:styleId="Signature">
    <w:name w:val="Signature"/>
    <w:basedOn w:val="Normal"/>
    <w:link w:val="SignatureCar"/>
    <w:uiPriority w:val="99"/>
    <w:semiHidden/>
    <w:unhideWhenUsed/>
    <w:rsid w:val="00FE70CA"/>
    <w:pPr>
      <w:ind w:left="4252"/>
    </w:pPr>
  </w:style>
  <w:style w:type="character" w:customStyle="1" w:styleId="SignatureCar">
    <w:name w:val="Signature Car"/>
    <w:link w:val="Signature"/>
    <w:uiPriority w:val="99"/>
    <w:semiHidden/>
    <w:rsid w:val="00FE70CA"/>
    <w:rPr>
      <w:rFonts w:ascii="Tw Cen MT" w:hAnsi="Tw Cen MT"/>
      <w:noProof/>
    </w:rPr>
  </w:style>
  <w:style w:type="paragraph" w:styleId="Signaturelectronique">
    <w:name w:val="E-mail Signature"/>
    <w:basedOn w:val="Normal"/>
    <w:link w:val="SignaturelectroniqueCar"/>
    <w:uiPriority w:val="99"/>
    <w:semiHidden/>
    <w:unhideWhenUsed/>
    <w:rsid w:val="00FE70CA"/>
  </w:style>
  <w:style w:type="character" w:customStyle="1" w:styleId="SignaturelectroniqueCar">
    <w:name w:val="Signature électronique Car"/>
    <w:link w:val="Signaturelectronique"/>
    <w:uiPriority w:val="99"/>
    <w:semiHidden/>
    <w:rsid w:val="00FE70CA"/>
    <w:rPr>
      <w:rFonts w:ascii="Tw Cen MT" w:hAnsi="Tw Cen MT"/>
      <w:noProof/>
    </w:rPr>
  </w:style>
  <w:style w:type="paragraph" w:styleId="Sous-titre">
    <w:name w:val="Subtitle"/>
    <w:basedOn w:val="Normal"/>
    <w:next w:val="Normal"/>
    <w:link w:val="Sous-titreCar"/>
    <w:uiPriority w:val="11"/>
    <w:qFormat/>
    <w:rsid w:val="00FE70CA"/>
    <w:pPr>
      <w:jc w:val="center"/>
      <w:outlineLvl w:val="1"/>
    </w:pPr>
    <w:rPr>
      <w:rFonts w:ascii="Cambria" w:hAnsi="Cambria"/>
      <w:sz w:val="24"/>
      <w:szCs w:val="24"/>
    </w:rPr>
  </w:style>
  <w:style w:type="character" w:customStyle="1" w:styleId="Sous-titreCar">
    <w:name w:val="Sous-titre Car"/>
    <w:link w:val="Sous-titre"/>
    <w:uiPriority w:val="11"/>
    <w:rsid w:val="00FE70CA"/>
    <w:rPr>
      <w:rFonts w:ascii="Cambria" w:eastAsia="Times New Roman" w:hAnsi="Cambria" w:cs="Times New Roman"/>
      <w:noProof/>
      <w:sz w:val="24"/>
      <w:szCs w:val="24"/>
    </w:rPr>
  </w:style>
  <w:style w:type="paragraph" w:styleId="Tabledesillustrations">
    <w:name w:val="table of figures"/>
    <w:basedOn w:val="Normal"/>
    <w:next w:val="Normal"/>
    <w:uiPriority w:val="99"/>
    <w:semiHidden/>
    <w:unhideWhenUsed/>
    <w:rsid w:val="00FE70CA"/>
    <w:pPr>
      <w:tabs>
        <w:tab w:val="clear" w:pos="1134"/>
      </w:tabs>
      <w:ind w:left="0"/>
    </w:pPr>
  </w:style>
  <w:style w:type="paragraph" w:styleId="Tabledesrfrencesjuridiques">
    <w:name w:val="table of authorities"/>
    <w:basedOn w:val="Normal"/>
    <w:next w:val="Normal"/>
    <w:uiPriority w:val="99"/>
    <w:semiHidden/>
    <w:unhideWhenUsed/>
    <w:rsid w:val="00FE70CA"/>
    <w:pPr>
      <w:tabs>
        <w:tab w:val="clear" w:pos="1134"/>
      </w:tabs>
      <w:ind w:left="200" w:hanging="200"/>
    </w:pPr>
  </w:style>
  <w:style w:type="table" w:styleId="Tableauclassique1">
    <w:name w:val="Table Classic 1"/>
    <w:basedOn w:val="TableauNormal"/>
    <w:uiPriority w:val="99"/>
    <w:semiHidden/>
    <w:unhideWhenUsed/>
    <w:rsid w:val="00FE70CA"/>
    <w:pPr>
      <w:tabs>
        <w:tab w:val="left" w:pos="1134"/>
      </w:tabs>
      <w:spacing w:after="60"/>
      <w:ind w:left="708"/>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E70CA"/>
    <w:pPr>
      <w:tabs>
        <w:tab w:val="left" w:pos="1134"/>
      </w:tabs>
      <w:spacing w:after="60"/>
      <w:ind w:left="708"/>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E70CA"/>
    <w:pPr>
      <w:tabs>
        <w:tab w:val="left" w:pos="1134"/>
      </w:tabs>
      <w:spacing w:after="60"/>
      <w:ind w:left="708"/>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E70CA"/>
    <w:pPr>
      <w:tabs>
        <w:tab w:val="left" w:pos="1134"/>
      </w:tabs>
      <w:spacing w:after="60"/>
      <w:ind w:left="708"/>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E70CA"/>
    <w:pPr>
      <w:tabs>
        <w:tab w:val="left" w:pos="1134"/>
      </w:tabs>
      <w:spacing w:after="60"/>
      <w:ind w:left="708"/>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E70CA"/>
    <w:pPr>
      <w:tabs>
        <w:tab w:val="left" w:pos="1134"/>
      </w:tabs>
      <w:spacing w:after="60"/>
      <w:ind w:left="708"/>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E70CA"/>
    <w:pPr>
      <w:tabs>
        <w:tab w:val="left" w:pos="1134"/>
      </w:tabs>
      <w:spacing w:after="60"/>
      <w:ind w:left="708"/>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FE70CA"/>
    <w:pPr>
      <w:tabs>
        <w:tab w:val="left" w:pos="1134"/>
      </w:tabs>
      <w:spacing w:after="60"/>
      <w:ind w:left="708"/>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E70CA"/>
    <w:pPr>
      <w:tabs>
        <w:tab w:val="left" w:pos="1134"/>
      </w:tabs>
      <w:spacing w:after="60"/>
      <w:ind w:left="708"/>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FE70CA"/>
    <w:pPr>
      <w:tabs>
        <w:tab w:val="left" w:pos="1134"/>
      </w:tabs>
      <w:spacing w:after="60"/>
      <w:ind w:left="708"/>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FE70CA"/>
    <w:pPr>
      <w:tabs>
        <w:tab w:val="left" w:pos="1134"/>
      </w:tabs>
      <w:spacing w:after="60"/>
      <w:ind w:left="708"/>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FE70CA"/>
    <w:pPr>
      <w:tabs>
        <w:tab w:val="left" w:pos="1134"/>
      </w:tabs>
      <w:spacing w:after="60"/>
      <w:ind w:left="708"/>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FE70CA"/>
    <w:pPr>
      <w:tabs>
        <w:tab w:val="left" w:pos="1134"/>
      </w:tabs>
      <w:spacing w:after="60"/>
      <w:ind w:left="708"/>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E70CA"/>
    <w:pPr>
      <w:tabs>
        <w:tab w:val="left" w:pos="1134"/>
      </w:tabs>
      <w:spacing w:after="60"/>
      <w:ind w:left="708"/>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E70CA"/>
    <w:pPr>
      <w:tabs>
        <w:tab w:val="left" w:pos="1134"/>
      </w:tabs>
      <w:spacing w:after="60"/>
      <w:ind w:left="708"/>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E70CA"/>
    <w:pPr>
      <w:tabs>
        <w:tab w:val="left" w:pos="1134"/>
      </w:tabs>
      <w:spacing w:after="60"/>
      <w:ind w:left="708"/>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E70CA"/>
    <w:pPr>
      <w:tabs>
        <w:tab w:val="left" w:pos="1134"/>
      </w:tabs>
      <w:spacing w:after="60"/>
      <w:ind w:left="708"/>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FE70CA"/>
    <w:pPr>
      <w:tabs>
        <w:tab w:val="left" w:pos="1134"/>
      </w:tabs>
      <w:spacing w:after="60"/>
      <w:ind w:left="708"/>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E70CA"/>
    <w:pPr>
      <w:tabs>
        <w:tab w:val="left" w:pos="1134"/>
      </w:tabs>
      <w:spacing w:after="60"/>
      <w:ind w:left="708"/>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FE70CA"/>
    <w:pPr>
      <w:tabs>
        <w:tab w:val="left" w:pos="1134"/>
      </w:tabs>
      <w:spacing w:after="60"/>
      <w:ind w:left="708"/>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FE70CA"/>
    <w:pPr>
      <w:tabs>
        <w:tab w:val="left" w:pos="1134"/>
      </w:tabs>
      <w:spacing w:after="60"/>
      <w:ind w:left="708"/>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FE70CA"/>
    <w:pPr>
      <w:tabs>
        <w:tab w:val="left" w:pos="1134"/>
      </w:tabs>
      <w:spacing w:after="60"/>
      <w:ind w:left="708"/>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FE70CA"/>
    <w:pPr>
      <w:tabs>
        <w:tab w:val="left" w:pos="1134"/>
      </w:tabs>
      <w:spacing w:after="60"/>
      <w:ind w:left="708"/>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FE70CA"/>
    <w:pPr>
      <w:tabs>
        <w:tab w:val="left" w:pos="1134"/>
      </w:tabs>
      <w:spacing w:after="60"/>
      <w:ind w:left="708"/>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E70CA"/>
    <w:pPr>
      <w:tabs>
        <w:tab w:val="left" w:pos="1134"/>
      </w:tabs>
      <w:spacing w:after="60"/>
      <w:ind w:left="708"/>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E70CA"/>
    <w:pPr>
      <w:tabs>
        <w:tab w:val="left" w:pos="1134"/>
      </w:tabs>
      <w:spacing w:after="60"/>
      <w:ind w:left="708"/>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FE70CA"/>
    <w:rPr>
      <w:rFonts w:ascii="Courier New" w:hAnsi="Courier New" w:cs="Courier New"/>
    </w:rPr>
  </w:style>
  <w:style w:type="character" w:customStyle="1" w:styleId="TextebrutCar">
    <w:name w:val="Texte brut Car"/>
    <w:link w:val="Textebrut"/>
    <w:uiPriority w:val="99"/>
    <w:semiHidden/>
    <w:rsid w:val="00FE70CA"/>
    <w:rPr>
      <w:rFonts w:ascii="Courier New" w:hAnsi="Courier New" w:cs="Courier New"/>
      <w:noProof/>
    </w:rPr>
  </w:style>
  <w:style w:type="paragraph" w:styleId="Textedebulles">
    <w:name w:val="Balloon Text"/>
    <w:basedOn w:val="Normal"/>
    <w:link w:val="TextedebullesCar"/>
    <w:uiPriority w:val="99"/>
    <w:semiHidden/>
    <w:unhideWhenUsed/>
    <w:rsid w:val="00FE70CA"/>
    <w:pPr>
      <w:spacing w:after="0"/>
    </w:pPr>
    <w:rPr>
      <w:rFonts w:ascii="Tahoma" w:hAnsi="Tahoma" w:cs="Tahoma"/>
      <w:sz w:val="16"/>
      <w:szCs w:val="16"/>
    </w:rPr>
  </w:style>
  <w:style w:type="character" w:customStyle="1" w:styleId="TextedebullesCar">
    <w:name w:val="Texte de bulles Car"/>
    <w:link w:val="Textedebulles"/>
    <w:uiPriority w:val="99"/>
    <w:semiHidden/>
    <w:rsid w:val="00FE70CA"/>
    <w:rPr>
      <w:rFonts w:ascii="Tahoma" w:hAnsi="Tahoma" w:cs="Tahoma"/>
      <w:noProof/>
      <w:sz w:val="16"/>
      <w:szCs w:val="16"/>
    </w:rPr>
  </w:style>
  <w:style w:type="character" w:styleId="Textedelespacerserv">
    <w:name w:val="Placeholder Text"/>
    <w:uiPriority w:val="99"/>
    <w:semiHidden/>
    <w:rsid w:val="00FE70CA"/>
    <w:rPr>
      <w:color w:val="808080"/>
    </w:rPr>
  </w:style>
  <w:style w:type="paragraph" w:styleId="Textedemacro">
    <w:name w:val="macro"/>
    <w:link w:val="TextedemacroCar"/>
    <w:uiPriority w:val="99"/>
    <w:semiHidden/>
    <w:unhideWhenUsed/>
    <w:rsid w:val="00FE70CA"/>
    <w:pPr>
      <w:tabs>
        <w:tab w:val="left" w:pos="480"/>
        <w:tab w:val="left" w:pos="960"/>
        <w:tab w:val="left" w:pos="1440"/>
        <w:tab w:val="left" w:pos="1920"/>
        <w:tab w:val="left" w:pos="2400"/>
        <w:tab w:val="left" w:pos="2880"/>
        <w:tab w:val="left" w:pos="3360"/>
        <w:tab w:val="left" w:pos="3840"/>
        <w:tab w:val="left" w:pos="4320"/>
      </w:tabs>
      <w:spacing w:after="60"/>
      <w:ind w:left="708"/>
      <w:jc w:val="both"/>
    </w:pPr>
    <w:rPr>
      <w:rFonts w:ascii="Courier New" w:hAnsi="Courier New" w:cs="Courier New"/>
      <w:noProof/>
    </w:rPr>
  </w:style>
  <w:style w:type="character" w:customStyle="1" w:styleId="TextedemacroCar">
    <w:name w:val="Texte de macro Car"/>
    <w:link w:val="Textedemacro"/>
    <w:uiPriority w:val="99"/>
    <w:semiHidden/>
    <w:rsid w:val="00FE70CA"/>
    <w:rPr>
      <w:rFonts w:ascii="Courier New" w:hAnsi="Courier New" w:cs="Courier New"/>
      <w:noProof/>
    </w:rPr>
  </w:style>
  <w:style w:type="table" w:styleId="Thmedutableau">
    <w:name w:val="Table Theme"/>
    <w:basedOn w:val="TableauNormal"/>
    <w:uiPriority w:val="99"/>
    <w:semiHidden/>
    <w:unhideWhenUsed/>
    <w:rsid w:val="00FE70CA"/>
    <w:pPr>
      <w:tabs>
        <w:tab w:val="left" w:pos="1134"/>
      </w:tabs>
      <w:spacing w:after="60"/>
      <w:ind w:left="708"/>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FE70CA"/>
  </w:style>
  <w:style w:type="character" w:customStyle="1" w:styleId="TitredenoteCar">
    <w:name w:val="Titre de note Car"/>
    <w:link w:val="Titredenote"/>
    <w:uiPriority w:val="99"/>
    <w:semiHidden/>
    <w:rsid w:val="00FE70CA"/>
    <w:rPr>
      <w:rFonts w:ascii="Tw Cen MT" w:hAnsi="Tw Cen MT"/>
      <w:noProof/>
    </w:rPr>
  </w:style>
  <w:style w:type="character" w:styleId="Titredulivre">
    <w:name w:val="Book Title"/>
    <w:uiPriority w:val="33"/>
    <w:qFormat/>
    <w:rsid w:val="00FE70CA"/>
    <w:rPr>
      <w:b/>
      <w:bCs/>
      <w:smallCaps/>
      <w:spacing w:val="5"/>
    </w:rPr>
  </w:style>
  <w:style w:type="paragraph" w:styleId="Titreindex">
    <w:name w:val="index heading"/>
    <w:basedOn w:val="Normal"/>
    <w:next w:val="Index1"/>
    <w:uiPriority w:val="99"/>
    <w:semiHidden/>
    <w:unhideWhenUsed/>
    <w:rsid w:val="00FE70CA"/>
    <w:rPr>
      <w:rFonts w:ascii="Cambria" w:hAnsi="Cambria"/>
      <w:b/>
      <w:bCs/>
    </w:rPr>
  </w:style>
  <w:style w:type="paragraph" w:styleId="TitreTR">
    <w:name w:val="toa heading"/>
    <w:basedOn w:val="Normal"/>
    <w:next w:val="Normal"/>
    <w:uiPriority w:val="99"/>
    <w:semiHidden/>
    <w:unhideWhenUsed/>
    <w:rsid w:val="00FE70CA"/>
    <w:pPr>
      <w:spacing w:before="120"/>
    </w:pPr>
    <w:rPr>
      <w:rFonts w:ascii="Cambria" w:hAnsi="Cambria"/>
      <w:b/>
      <w:bCs/>
      <w:sz w:val="24"/>
      <w:szCs w:val="24"/>
    </w:rPr>
  </w:style>
  <w:style w:type="paragraph" w:styleId="TM9">
    <w:name w:val="toc 9"/>
    <w:basedOn w:val="Normal"/>
    <w:next w:val="Normal"/>
    <w:uiPriority w:val="39"/>
    <w:semiHidden/>
    <w:unhideWhenUsed/>
    <w:rsid w:val="00FE70CA"/>
    <w:pPr>
      <w:tabs>
        <w:tab w:val="clear" w:pos="1134"/>
      </w:tabs>
      <w:ind w:left="1600"/>
    </w:pPr>
  </w:style>
  <w:style w:type="table" w:styleId="Trameclaire-Accent1">
    <w:name w:val="Light Shading Accent 1"/>
    <w:basedOn w:val="TableauNormal"/>
    <w:uiPriority w:val="60"/>
    <w:rsid w:val="00FE70C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E70CA"/>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E70CA"/>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E70CA"/>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E70CA"/>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E70CA"/>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E70CA"/>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E70C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E70CA"/>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E70CA"/>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E70CA"/>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E70CA"/>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E70CA"/>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E70C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E70C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E70C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E70C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E70C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E70C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E70C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E70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E70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E70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E70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E70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E70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E70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FE70C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tabs>
        <w:tab w:val="left" w:pos="1134"/>
      </w:tabs>
      <w:spacing w:after="60"/>
      <w:ind w:left="708"/>
      <w:jc w:val="both"/>
    </w:pPr>
    <w:rPr>
      <w:rFonts w:ascii="Tw Cen MT" w:hAnsi="Tw Cen MT"/>
      <w:noProof/>
    </w:rPr>
  </w:style>
  <w:style w:type="paragraph" w:styleId="Titre1">
    <w:name w:val="heading 1"/>
    <w:next w:val="Normal"/>
    <w:qFormat/>
    <w:pPr>
      <w:tabs>
        <w:tab w:val="left" w:pos="426"/>
      </w:tabs>
      <w:outlineLvl w:val="0"/>
    </w:pPr>
    <w:rPr>
      <w:rFonts w:ascii="Tw Cen MT" w:hAnsi="Tw Cen MT"/>
      <w:b/>
      <w:noProof/>
      <w:color w:val="0000FF"/>
      <w:sz w:val="22"/>
    </w:rPr>
  </w:style>
  <w:style w:type="paragraph" w:styleId="Titre2">
    <w:name w:val="heading 2"/>
    <w:next w:val="Normal"/>
    <w:qFormat/>
    <w:pPr>
      <w:numPr>
        <w:ilvl w:val="1"/>
        <w:numId w:val="6"/>
      </w:numPr>
      <w:outlineLvl w:val="1"/>
    </w:pPr>
    <w:rPr>
      <w:rFonts w:ascii="Verdana Ref" w:hAnsi="Verdana Ref"/>
      <w:color w:val="0000FF"/>
    </w:rPr>
  </w:style>
  <w:style w:type="paragraph" w:styleId="Titre3">
    <w:name w:val="heading 3"/>
    <w:next w:val="Normal"/>
    <w:qFormat/>
    <w:pPr>
      <w:numPr>
        <w:ilvl w:val="2"/>
        <w:numId w:val="6"/>
      </w:numPr>
      <w:outlineLvl w:val="2"/>
    </w:pPr>
    <w:rPr>
      <w:rFonts w:ascii="Verdana Ref" w:hAnsi="Verdana Ref"/>
      <w:sz w:val="18"/>
    </w:rPr>
  </w:style>
  <w:style w:type="paragraph" w:styleId="Titre4">
    <w:name w:val="heading 4"/>
    <w:basedOn w:val="Normal"/>
    <w:next w:val="Normal"/>
    <w:qFormat/>
    <w:pPr>
      <w:widowControl w:val="0"/>
      <w:numPr>
        <w:ilvl w:val="3"/>
        <w:numId w:val="6"/>
      </w:numPr>
      <w:spacing w:before="240"/>
      <w:outlineLvl w:val="3"/>
    </w:pPr>
    <w:rPr>
      <w:noProof w:val="0"/>
      <w:color w:val="0000FF"/>
    </w:rPr>
  </w:style>
  <w:style w:type="paragraph" w:styleId="Titre5">
    <w:name w:val="heading 5"/>
    <w:basedOn w:val="Normal"/>
    <w:next w:val="Definition"/>
    <w:qFormat/>
    <w:pPr>
      <w:numPr>
        <w:ilvl w:val="4"/>
        <w:numId w:val="6"/>
      </w:numPr>
      <w:spacing w:before="240"/>
      <w:outlineLvl w:val="4"/>
    </w:pPr>
    <w:rPr>
      <w:b/>
      <w:i/>
      <w:caps/>
      <w:sz w:val="16"/>
      <w:u w:val="single"/>
    </w:rPr>
  </w:style>
  <w:style w:type="paragraph" w:styleId="Titre6">
    <w:name w:val="heading 6"/>
    <w:basedOn w:val="Normal"/>
    <w:next w:val="Normal"/>
    <w:qFormat/>
    <w:pPr>
      <w:numPr>
        <w:ilvl w:val="5"/>
        <w:numId w:val="6"/>
      </w:numPr>
      <w:outlineLvl w:val="5"/>
    </w:pPr>
    <w:rPr>
      <w:u w:val="single"/>
    </w:rPr>
  </w:style>
  <w:style w:type="paragraph" w:styleId="Titre7">
    <w:name w:val="heading 7"/>
    <w:basedOn w:val="Normal"/>
    <w:next w:val="Normal"/>
    <w:qFormat/>
    <w:pPr>
      <w:numPr>
        <w:ilvl w:val="6"/>
        <w:numId w:val="6"/>
      </w:numPr>
      <w:outlineLvl w:val="6"/>
    </w:pPr>
    <w:rPr>
      <w:i/>
    </w:rPr>
  </w:style>
  <w:style w:type="paragraph" w:styleId="Titre8">
    <w:name w:val="heading 8"/>
    <w:basedOn w:val="Normal"/>
    <w:next w:val="Normal"/>
    <w:qFormat/>
    <w:pPr>
      <w:numPr>
        <w:ilvl w:val="7"/>
        <w:numId w:val="6"/>
      </w:numPr>
      <w:outlineLvl w:val="7"/>
    </w:pPr>
    <w:rPr>
      <w:i/>
    </w:rPr>
  </w:style>
  <w:style w:type="paragraph" w:styleId="Titre9">
    <w:name w:val="heading 9"/>
    <w:basedOn w:val="Normal"/>
    <w:next w:val="Normal"/>
    <w:qFormat/>
    <w:pPr>
      <w:numPr>
        <w:ilvl w:val="8"/>
        <w:numId w:val="6"/>
      </w:numPr>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pPr>
      <w:numPr>
        <w:numId w:val="7"/>
      </w:numPr>
      <w:tabs>
        <w:tab w:val="left" w:pos="71"/>
        <w:tab w:val="left" w:pos="7443"/>
      </w:tabs>
      <w:spacing w:before="60"/>
    </w:pPr>
    <w:rPr>
      <w:noProof w:val="0"/>
      <w:lang w:val="en-GB"/>
    </w:rPr>
  </w:style>
  <w:style w:type="paragraph" w:customStyle="1" w:styleId="B2">
    <w:name w:val="B2"/>
    <w:basedOn w:val="B1"/>
    <w:pPr>
      <w:numPr>
        <w:numId w:val="1"/>
      </w:numPr>
      <w:tabs>
        <w:tab w:val="clear" w:pos="927"/>
        <w:tab w:val="left" w:pos="1134"/>
      </w:tabs>
      <w:ind w:left="1134" w:hanging="283"/>
    </w:pPr>
  </w:style>
  <w:style w:type="paragraph" w:customStyle="1" w:styleId="B3">
    <w:name w:val="B3"/>
    <w:basedOn w:val="B2"/>
    <w:pPr>
      <w:numPr>
        <w:numId w:val="2"/>
      </w:numPr>
      <w:tabs>
        <w:tab w:val="clear" w:pos="360"/>
        <w:tab w:val="clear" w:pos="1134"/>
        <w:tab w:val="left" w:pos="1418"/>
      </w:tabs>
      <w:spacing w:before="20"/>
      <w:ind w:left="1418" w:hanging="284"/>
    </w:pPr>
  </w:style>
  <w:style w:type="paragraph" w:customStyle="1" w:styleId="Definition">
    <w:name w:val="Definition"/>
    <w:basedOn w:val="Normal"/>
    <w:pPr>
      <w:spacing w:before="120"/>
      <w:ind w:left="1701"/>
    </w:pPr>
    <w:rPr>
      <w:rFonts w:ascii="Univers" w:hAnsi="Univers"/>
      <w:sz w:val="18"/>
    </w:rPr>
  </w:style>
  <w:style w:type="character" w:styleId="Lienhypertexte">
    <w:name w:val="Hyperlink"/>
    <w:semiHidden/>
    <w:rPr>
      <w:color w:val="0000FF"/>
      <w:u w:val="single"/>
    </w:rPr>
  </w:style>
  <w:style w:type="paragraph" w:customStyle="1" w:styleId="Terme">
    <w:name w:val="Terme"/>
    <w:basedOn w:val="Definition"/>
    <w:pPr>
      <w:ind w:left="0"/>
      <w:jc w:val="left"/>
    </w:pPr>
    <w:rPr>
      <w:rFonts w:ascii="Verdana Ref" w:hAnsi="Verdana Ref"/>
      <w:b/>
      <w:color w:val="FF6600"/>
      <w:lang w:val="en-GB"/>
    </w:rPr>
  </w:style>
  <w:style w:type="paragraph" w:styleId="Titre">
    <w:name w:val="Title"/>
    <w:basedOn w:val="Normal"/>
    <w:next w:val="Normal"/>
    <w:qFormat/>
    <w:pPr>
      <w:spacing w:before="120" w:after="120"/>
      <w:jc w:val="center"/>
    </w:pPr>
    <w:rPr>
      <w:color w:val="3366FF"/>
      <w:sz w:val="28"/>
    </w:rPr>
  </w:style>
  <w:style w:type="paragraph" w:styleId="TM1">
    <w:name w:val="toc 1"/>
    <w:basedOn w:val="Normal"/>
    <w:next w:val="Normal"/>
    <w:semiHidden/>
    <w:pPr>
      <w:tabs>
        <w:tab w:val="right" w:leader="underscore" w:pos="9780"/>
      </w:tabs>
      <w:ind w:left="1701"/>
      <w:jc w:val="left"/>
    </w:pPr>
    <w:rPr>
      <w:i/>
      <w:caps/>
      <w:sz w:val="16"/>
    </w:rPr>
  </w:style>
  <w:style w:type="paragraph" w:styleId="TM2">
    <w:name w:val="toc 2"/>
    <w:basedOn w:val="TM1"/>
    <w:next w:val="Normal"/>
    <w:semiHidden/>
    <w:pPr>
      <w:tabs>
        <w:tab w:val="left" w:pos="2410"/>
      </w:tabs>
      <w:spacing w:before="60"/>
      <w:ind w:left="2410" w:hanging="425"/>
    </w:p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left" w:pos="2410"/>
        <w:tab w:val="right" w:leader="dot" w:pos="9389"/>
      </w:tabs>
      <w:ind w:left="2410" w:hanging="1418"/>
    </w:pPr>
  </w:style>
  <w:style w:type="paragraph" w:customStyle="1" w:styleId="Version">
    <w:name w:val="Version"/>
    <w:basedOn w:val="Normal"/>
    <w:pPr>
      <w:jc w:val="right"/>
    </w:pPr>
    <w:rPr>
      <w:i/>
      <w:sz w:val="16"/>
    </w:rPr>
  </w:style>
  <w:style w:type="paragraph" w:customStyle="1" w:styleId="Ttitre4">
    <w:name w:val="Ttitre 4"/>
    <w:basedOn w:val="Titre4"/>
    <w:pPr>
      <w:numPr>
        <w:ilvl w:val="0"/>
        <w:numId w:val="0"/>
      </w:numPr>
    </w:pPr>
    <w:rPr>
      <w:smallCaps/>
      <w:color w:val="auto"/>
      <w:sz w:val="22"/>
      <w:u w:val="single"/>
    </w:rPr>
  </w:style>
  <w:style w:type="paragraph" w:customStyle="1" w:styleId="OmniPage1">
    <w:name w:val="OmniPage #1"/>
    <w:basedOn w:val="Normal"/>
    <w:pPr>
      <w:tabs>
        <w:tab w:val="left" w:pos="3225"/>
      </w:tabs>
      <w:ind w:left="3225" w:right="431"/>
    </w:pPr>
    <w:rPr>
      <w:smallCaps/>
      <w:color w:val="FF0000"/>
    </w:rPr>
  </w:style>
  <w:style w:type="paragraph" w:customStyle="1" w:styleId="Termedefinition">
    <w:name w:val="Terme.definition"/>
    <w:basedOn w:val="Normal"/>
    <w:pPr>
      <w:widowControl w:val="0"/>
      <w:numPr>
        <w:numId w:val="3"/>
      </w:numPr>
    </w:pPr>
    <w:rPr>
      <w:color w:val="FF0000"/>
    </w:rPr>
  </w:style>
  <w:style w:type="paragraph" w:customStyle="1" w:styleId="Dfinition">
    <w:name w:val="Définition"/>
    <w:basedOn w:val="Normal"/>
    <w:pPr>
      <w:widowControl w:val="0"/>
    </w:pPr>
    <w:rPr>
      <w:i/>
    </w:rPr>
  </w:style>
  <w:style w:type="paragraph" w:customStyle="1" w:styleId="annexe1">
    <w:name w:val="annexe1"/>
    <w:basedOn w:val="Normal"/>
    <w:pPr>
      <w:widowControl w:val="0"/>
      <w:numPr>
        <w:numId w:val="4"/>
      </w:numPr>
      <w:jc w:val="center"/>
    </w:pPr>
    <w:rPr>
      <w:smallCaps/>
      <w:color w:val="0000FF"/>
      <w:sz w:val="32"/>
    </w:rPr>
  </w:style>
  <w:style w:type="paragraph" w:customStyle="1" w:styleId="annexe2">
    <w:name w:val="annexe 2"/>
    <w:rPr>
      <w:noProof/>
      <w:color w:val="0000FF"/>
      <w:sz w:val="24"/>
    </w:rPr>
  </w:style>
  <w:style w:type="paragraph" w:customStyle="1" w:styleId="Rfrences">
    <w:name w:val="Références"/>
    <w:basedOn w:val="Normal"/>
    <w:pPr>
      <w:tabs>
        <w:tab w:val="left" w:pos="509"/>
        <w:tab w:val="left" w:pos="5422"/>
        <w:tab w:val="left" w:pos="5920"/>
        <w:tab w:val="right" w:pos="10469"/>
      </w:tabs>
    </w:pPr>
    <w:rPr>
      <w:rFonts w:ascii="Univers" w:hAnsi="Univers"/>
      <w:noProof w:val="0"/>
      <w:sz w:val="12"/>
    </w:rPr>
  </w:style>
  <w:style w:type="paragraph" w:customStyle="1" w:styleId="NormalCentre">
    <w:name w:val="NormalCentre"/>
    <w:basedOn w:val="Titre1"/>
    <w:next w:val="Normal"/>
  </w:style>
  <w:style w:type="paragraph" w:customStyle="1" w:styleId="Proposal">
    <w:name w:val="Proposal"/>
    <w:pPr>
      <w:shd w:val="clear" w:color="auto" w:fill="E0E0E0"/>
    </w:pPr>
    <w:rPr>
      <w:rFonts w:ascii="Comic Sans MS" w:hAnsi="Comic Sans MS"/>
      <w:color w:val="FF6600"/>
      <w:sz w:val="16"/>
    </w:rPr>
  </w:style>
  <w:style w:type="paragraph" w:customStyle="1" w:styleId="ProposalB1">
    <w:name w:val="Proposal B1"/>
    <w:basedOn w:val="Proposal"/>
    <w:pPr>
      <w:numPr>
        <w:numId w:val="5"/>
      </w:numPr>
    </w:pPr>
    <w:rPr>
      <w:u w:val="single"/>
    </w:rPr>
  </w:style>
  <w:style w:type="paragraph" w:customStyle="1" w:styleId="Nom">
    <w:name w:val="Nom"/>
    <w:pPr>
      <w:ind w:right="91"/>
      <w:jc w:val="center"/>
    </w:pPr>
    <w:rPr>
      <w:rFonts w:ascii="Univers" w:hAnsi="Univers"/>
      <w:b/>
      <w:bCs/>
      <w:color w:val="3366FF"/>
    </w:rPr>
  </w:style>
  <w:style w:type="paragraph" w:styleId="Pieddepage">
    <w:name w:val="footer"/>
    <w:basedOn w:val="Normal"/>
    <w:semiHidden/>
    <w:pPr>
      <w:tabs>
        <w:tab w:val="center" w:pos="4536"/>
        <w:tab w:val="right" w:pos="9072"/>
      </w:tabs>
      <w:jc w:val="right"/>
    </w:pPr>
    <w:rPr>
      <w:sz w:val="16"/>
    </w:rPr>
  </w:style>
  <w:style w:type="character" w:styleId="Numrodepage">
    <w:name w:val="page number"/>
    <w:basedOn w:val="Policepardfaut"/>
    <w:semiHidden/>
  </w:style>
  <w:style w:type="paragraph" w:styleId="En-tte">
    <w:name w:val="header"/>
    <w:basedOn w:val="Normal"/>
    <w:semiHidden/>
    <w:pPr>
      <w:tabs>
        <w:tab w:val="clear" w:pos="1134"/>
        <w:tab w:val="center" w:pos="4536"/>
        <w:tab w:val="right" w:pos="9072"/>
      </w:tabs>
    </w:pPr>
  </w:style>
  <w:style w:type="numbering" w:styleId="111111">
    <w:name w:val="Outline List 2"/>
    <w:basedOn w:val="Aucuneliste"/>
    <w:uiPriority w:val="99"/>
    <w:semiHidden/>
    <w:unhideWhenUsed/>
    <w:rsid w:val="00FE70CA"/>
    <w:pPr>
      <w:numPr>
        <w:numId w:val="8"/>
      </w:numPr>
    </w:pPr>
  </w:style>
  <w:style w:type="numbering" w:styleId="1ai">
    <w:name w:val="Outline List 1"/>
    <w:basedOn w:val="Aucuneliste"/>
    <w:uiPriority w:val="99"/>
    <w:semiHidden/>
    <w:unhideWhenUsed/>
    <w:rsid w:val="00FE70CA"/>
    <w:pPr>
      <w:numPr>
        <w:numId w:val="9"/>
      </w:numPr>
    </w:pPr>
  </w:style>
  <w:style w:type="character" w:styleId="Accentuation">
    <w:name w:val="Emphasis"/>
    <w:uiPriority w:val="20"/>
    <w:qFormat/>
    <w:rsid w:val="00FE70CA"/>
    <w:rPr>
      <w:i/>
      <w:iCs/>
    </w:rPr>
  </w:style>
  <w:style w:type="character" w:styleId="AcronymeHTML">
    <w:name w:val="HTML Acronym"/>
    <w:uiPriority w:val="99"/>
    <w:semiHidden/>
    <w:unhideWhenUsed/>
    <w:rsid w:val="00FE70CA"/>
  </w:style>
  <w:style w:type="paragraph" w:styleId="Adressedestinataire">
    <w:name w:val="envelope address"/>
    <w:basedOn w:val="Normal"/>
    <w:uiPriority w:val="99"/>
    <w:semiHidden/>
    <w:unhideWhenUsed/>
    <w:rsid w:val="00FE70CA"/>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FE70CA"/>
    <w:rPr>
      <w:rFonts w:ascii="Cambria" w:hAnsi="Cambria"/>
    </w:rPr>
  </w:style>
  <w:style w:type="paragraph" w:styleId="AdresseHTML">
    <w:name w:val="HTML Address"/>
    <w:basedOn w:val="Normal"/>
    <w:link w:val="AdresseHTMLCar"/>
    <w:uiPriority w:val="99"/>
    <w:semiHidden/>
    <w:unhideWhenUsed/>
    <w:rsid w:val="00FE70CA"/>
    <w:rPr>
      <w:i/>
      <w:iCs/>
    </w:rPr>
  </w:style>
  <w:style w:type="character" w:customStyle="1" w:styleId="AdresseHTMLCar">
    <w:name w:val="Adresse HTML Car"/>
    <w:link w:val="AdresseHTML"/>
    <w:uiPriority w:val="99"/>
    <w:semiHidden/>
    <w:rsid w:val="00FE70CA"/>
    <w:rPr>
      <w:rFonts w:ascii="Tw Cen MT" w:hAnsi="Tw Cen MT"/>
      <w:i/>
      <w:iCs/>
      <w:noProof/>
    </w:rPr>
  </w:style>
  <w:style w:type="character" w:styleId="Appeldenotedefin">
    <w:name w:val="endnote reference"/>
    <w:uiPriority w:val="99"/>
    <w:semiHidden/>
    <w:unhideWhenUsed/>
    <w:rsid w:val="00FE70CA"/>
    <w:rPr>
      <w:vertAlign w:val="superscript"/>
    </w:rPr>
  </w:style>
  <w:style w:type="character" w:styleId="Appelnotedebasdep">
    <w:name w:val="footnote reference"/>
    <w:uiPriority w:val="99"/>
    <w:semiHidden/>
    <w:unhideWhenUsed/>
    <w:rsid w:val="00FE70CA"/>
    <w:rPr>
      <w:vertAlign w:val="superscript"/>
    </w:rPr>
  </w:style>
  <w:style w:type="numbering" w:styleId="ArticleSection">
    <w:name w:val="Outline List 3"/>
    <w:basedOn w:val="Aucuneliste"/>
    <w:uiPriority w:val="99"/>
    <w:semiHidden/>
    <w:unhideWhenUsed/>
    <w:rsid w:val="00FE70CA"/>
    <w:pPr>
      <w:numPr>
        <w:numId w:val="10"/>
      </w:numPr>
    </w:pPr>
  </w:style>
  <w:style w:type="paragraph" w:styleId="Bibliographie">
    <w:name w:val="Bibliography"/>
    <w:basedOn w:val="Normal"/>
    <w:next w:val="Normal"/>
    <w:uiPriority w:val="37"/>
    <w:semiHidden/>
    <w:unhideWhenUsed/>
    <w:rsid w:val="00FE70CA"/>
  </w:style>
  <w:style w:type="paragraph" w:styleId="Citation">
    <w:name w:val="Quote"/>
    <w:basedOn w:val="Normal"/>
    <w:next w:val="Normal"/>
    <w:link w:val="CitationCar"/>
    <w:uiPriority w:val="29"/>
    <w:qFormat/>
    <w:rsid w:val="00FE70CA"/>
    <w:rPr>
      <w:i/>
      <w:iCs/>
      <w:color w:val="000000"/>
    </w:rPr>
  </w:style>
  <w:style w:type="character" w:customStyle="1" w:styleId="CitationCar">
    <w:name w:val="Citation Car"/>
    <w:link w:val="Citation"/>
    <w:uiPriority w:val="29"/>
    <w:rsid w:val="00FE70CA"/>
    <w:rPr>
      <w:rFonts w:ascii="Tw Cen MT" w:hAnsi="Tw Cen MT"/>
      <w:i/>
      <w:iCs/>
      <w:noProof/>
      <w:color w:val="000000"/>
    </w:rPr>
  </w:style>
  <w:style w:type="character" w:styleId="CitationHTML">
    <w:name w:val="HTML Cite"/>
    <w:uiPriority w:val="99"/>
    <w:semiHidden/>
    <w:unhideWhenUsed/>
    <w:rsid w:val="00FE70CA"/>
    <w:rPr>
      <w:i/>
      <w:iCs/>
    </w:rPr>
  </w:style>
  <w:style w:type="paragraph" w:styleId="Citationintense">
    <w:name w:val="Intense Quote"/>
    <w:basedOn w:val="Normal"/>
    <w:next w:val="Normal"/>
    <w:link w:val="CitationintenseCar"/>
    <w:uiPriority w:val="30"/>
    <w:qFormat/>
    <w:rsid w:val="00FE70C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E70CA"/>
    <w:rPr>
      <w:rFonts w:ascii="Tw Cen MT" w:hAnsi="Tw Cen MT"/>
      <w:b/>
      <w:bCs/>
      <w:i/>
      <w:iCs/>
      <w:noProof/>
      <w:color w:val="4F81BD"/>
    </w:rPr>
  </w:style>
  <w:style w:type="character" w:styleId="ClavierHTML">
    <w:name w:val="HTML Keyboard"/>
    <w:uiPriority w:val="99"/>
    <w:semiHidden/>
    <w:unhideWhenUsed/>
    <w:rsid w:val="00FE70CA"/>
    <w:rPr>
      <w:rFonts w:ascii="Courier New" w:hAnsi="Courier New" w:cs="Courier New"/>
      <w:sz w:val="20"/>
      <w:szCs w:val="20"/>
    </w:rPr>
  </w:style>
  <w:style w:type="character" w:styleId="CodeHTML">
    <w:name w:val="HTML Code"/>
    <w:uiPriority w:val="99"/>
    <w:semiHidden/>
    <w:unhideWhenUsed/>
    <w:rsid w:val="00FE70CA"/>
    <w:rPr>
      <w:rFonts w:ascii="Courier New" w:hAnsi="Courier New" w:cs="Courier New"/>
      <w:sz w:val="20"/>
      <w:szCs w:val="20"/>
    </w:rPr>
  </w:style>
  <w:style w:type="table" w:styleId="Colonnesdetableau1">
    <w:name w:val="Table Columns 1"/>
    <w:basedOn w:val="TableauNormal"/>
    <w:uiPriority w:val="99"/>
    <w:semiHidden/>
    <w:unhideWhenUsed/>
    <w:rsid w:val="00FE70CA"/>
    <w:pPr>
      <w:tabs>
        <w:tab w:val="left" w:pos="1134"/>
      </w:tabs>
      <w:spacing w:after="60"/>
      <w:ind w:left="708"/>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E70CA"/>
    <w:pPr>
      <w:tabs>
        <w:tab w:val="left" w:pos="1134"/>
      </w:tabs>
      <w:spacing w:after="60"/>
      <w:ind w:left="708"/>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E70CA"/>
    <w:pPr>
      <w:tabs>
        <w:tab w:val="left" w:pos="1134"/>
      </w:tabs>
      <w:spacing w:after="60"/>
      <w:ind w:left="708"/>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E70CA"/>
    <w:pPr>
      <w:tabs>
        <w:tab w:val="left" w:pos="1134"/>
      </w:tabs>
      <w:spacing w:after="60"/>
      <w:ind w:left="708"/>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E70CA"/>
    <w:pPr>
      <w:tabs>
        <w:tab w:val="left" w:pos="1134"/>
      </w:tabs>
      <w:spacing w:after="60"/>
      <w:ind w:left="708"/>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FE70CA"/>
  </w:style>
  <w:style w:type="character" w:customStyle="1" w:styleId="CommentaireCar">
    <w:name w:val="Commentaire Car"/>
    <w:link w:val="Commentaire"/>
    <w:uiPriority w:val="99"/>
    <w:semiHidden/>
    <w:rsid w:val="00FE70CA"/>
    <w:rPr>
      <w:rFonts w:ascii="Tw Cen MT" w:hAnsi="Tw Cen MT"/>
      <w:noProof/>
    </w:rPr>
  </w:style>
  <w:style w:type="paragraph" w:styleId="Corpsdetexte">
    <w:name w:val="Body Text"/>
    <w:basedOn w:val="Normal"/>
    <w:link w:val="CorpsdetexteCar"/>
    <w:uiPriority w:val="99"/>
    <w:semiHidden/>
    <w:unhideWhenUsed/>
    <w:rsid w:val="00FE70CA"/>
    <w:pPr>
      <w:spacing w:after="120"/>
    </w:pPr>
  </w:style>
  <w:style w:type="character" w:customStyle="1" w:styleId="CorpsdetexteCar">
    <w:name w:val="Corps de texte Car"/>
    <w:link w:val="Corpsdetexte"/>
    <w:uiPriority w:val="99"/>
    <w:semiHidden/>
    <w:rsid w:val="00FE70CA"/>
    <w:rPr>
      <w:rFonts w:ascii="Tw Cen MT" w:hAnsi="Tw Cen MT"/>
      <w:noProof/>
    </w:rPr>
  </w:style>
  <w:style w:type="paragraph" w:styleId="Corpsdetexte2">
    <w:name w:val="Body Text 2"/>
    <w:basedOn w:val="Normal"/>
    <w:link w:val="Corpsdetexte2Car"/>
    <w:uiPriority w:val="99"/>
    <w:semiHidden/>
    <w:unhideWhenUsed/>
    <w:rsid w:val="00FE70CA"/>
    <w:pPr>
      <w:spacing w:after="120" w:line="480" w:lineRule="auto"/>
    </w:pPr>
  </w:style>
  <w:style w:type="character" w:customStyle="1" w:styleId="Corpsdetexte2Car">
    <w:name w:val="Corps de texte 2 Car"/>
    <w:link w:val="Corpsdetexte2"/>
    <w:uiPriority w:val="99"/>
    <w:semiHidden/>
    <w:rsid w:val="00FE70CA"/>
    <w:rPr>
      <w:rFonts w:ascii="Tw Cen MT" w:hAnsi="Tw Cen MT"/>
      <w:noProof/>
    </w:rPr>
  </w:style>
  <w:style w:type="paragraph" w:styleId="Corpsdetexte3">
    <w:name w:val="Body Text 3"/>
    <w:basedOn w:val="Normal"/>
    <w:link w:val="Corpsdetexte3Car"/>
    <w:uiPriority w:val="99"/>
    <w:semiHidden/>
    <w:unhideWhenUsed/>
    <w:rsid w:val="00FE70CA"/>
    <w:pPr>
      <w:spacing w:after="120"/>
    </w:pPr>
    <w:rPr>
      <w:sz w:val="16"/>
      <w:szCs w:val="16"/>
    </w:rPr>
  </w:style>
  <w:style w:type="character" w:customStyle="1" w:styleId="Corpsdetexte3Car">
    <w:name w:val="Corps de texte 3 Car"/>
    <w:link w:val="Corpsdetexte3"/>
    <w:uiPriority w:val="99"/>
    <w:semiHidden/>
    <w:rsid w:val="00FE70CA"/>
    <w:rPr>
      <w:rFonts w:ascii="Tw Cen MT" w:hAnsi="Tw Cen MT"/>
      <w:noProof/>
      <w:sz w:val="16"/>
      <w:szCs w:val="16"/>
    </w:rPr>
  </w:style>
  <w:style w:type="paragraph" w:styleId="Date">
    <w:name w:val="Date"/>
    <w:basedOn w:val="Normal"/>
    <w:next w:val="Normal"/>
    <w:link w:val="DateCar"/>
    <w:uiPriority w:val="99"/>
    <w:semiHidden/>
    <w:unhideWhenUsed/>
    <w:rsid w:val="00FE70CA"/>
  </w:style>
  <w:style w:type="character" w:customStyle="1" w:styleId="DateCar">
    <w:name w:val="Date Car"/>
    <w:link w:val="Date"/>
    <w:uiPriority w:val="99"/>
    <w:semiHidden/>
    <w:rsid w:val="00FE70CA"/>
    <w:rPr>
      <w:rFonts w:ascii="Tw Cen MT" w:hAnsi="Tw Cen MT"/>
      <w:noProof/>
    </w:rPr>
  </w:style>
  <w:style w:type="character" w:styleId="DfinitionHTML">
    <w:name w:val="HTML Definition"/>
    <w:uiPriority w:val="99"/>
    <w:semiHidden/>
    <w:unhideWhenUsed/>
    <w:rsid w:val="00FE70CA"/>
    <w:rPr>
      <w:i/>
      <w:iCs/>
    </w:rPr>
  </w:style>
  <w:style w:type="table" w:styleId="Effetsdetableau3D1">
    <w:name w:val="Table 3D effects 1"/>
    <w:basedOn w:val="TableauNormal"/>
    <w:uiPriority w:val="99"/>
    <w:semiHidden/>
    <w:unhideWhenUsed/>
    <w:rsid w:val="00FE70CA"/>
    <w:pPr>
      <w:tabs>
        <w:tab w:val="left" w:pos="1134"/>
      </w:tabs>
      <w:spacing w:after="60"/>
      <w:ind w:left="708"/>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E70CA"/>
    <w:pPr>
      <w:tabs>
        <w:tab w:val="left" w:pos="1134"/>
      </w:tabs>
      <w:spacing w:after="60"/>
      <w:ind w:left="708"/>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E70CA"/>
    <w:pPr>
      <w:tabs>
        <w:tab w:val="left" w:pos="1134"/>
      </w:tabs>
      <w:spacing w:after="60"/>
      <w:ind w:left="708"/>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FE70CA"/>
    <w:rPr>
      <w:b/>
      <w:bCs/>
    </w:rPr>
  </w:style>
  <w:style w:type="character" w:styleId="Emphaseintense">
    <w:name w:val="Intense Emphasis"/>
    <w:uiPriority w:val="21"/>
    <w:qFormat/>
    <w:rsid w:val="00FE70CA"/>
    <w:rPr>
      <w:b/>
      <w:bCs/>
      <w:i/>
      <w:iCs/>
      <w:color w:val="4F81BD"/>
    </w:rPr>
  </w:style>
  <w:style w:type="character" w:styleId="Emphaseple">
    <w:name w:val="Subtle Emphasis"/>
    <w:uiPriority w:val="19"/>
    <w:qFormat/>
    <w:rsid w:val="00FE70CA"/>
    <w:rPr>
      <w:i/>
      <w:iCs/>
      <w:color w:val="808080"/>
    </w:rPr>
  </w:style>
  <w:style w:type="paragraph" w:styleId="En-ttedemessage">
    <w:name w:val="Message Header"/>
    <w:basedOn w:val="Normal"/>
    <w:link w:val="En-ttedemessageCar"/>
    <w:uiPriority w:val="99"/>
    <w:semiHidden/>
    <w:unhideWhenUsed/>
    <w:rsid w:val="00FE70C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FE70CA"/>
    <w:rPr>
      <w:rFonts w:ascii="Cambria" w:eastAsia="Times New Roman" w:hAnsi="Cambria" w:cs="Times New Roman"/>
      <w:noProof/>
      <w:sz w:val="24"/>
      <w:szCs w:val="24"/>
      <w:shd w:val="pct20" w:color="auto" w:fill="auto"/>
    </w:rPr>
  </w:style>
  <w:style w:type="paragraph" w:styleId="En-ttedetabledesmatires">
    <w:name w:val="TOC Heading"/>
    <w:basedOn w:val="Titre1"/>
    <w:next w:val="Normal"/>
    <w:uiPriority w:val="39"/>
    <w:semiHidden/>
    <w:unhideWhenUsed/>
    <w:qFormat/>
    <w:rsid w:val="00FE70CA"/>
    <w:pPr>
      <w:keepNext/>
      <w:tabs>
        <w:tab w:val="clear" w:pos="426"/>
        <w:tab w:val="left" w:pos="1134"/>
      </w:tabs>
      <w:spacing w:before="240" w:after="60"/>
      <w:ind w:left="708"/>
      <w:jc w:val="both"/>
      <w:outlineLvl w:val="9"/>
    </w:pPr>
    <w:rPr>
      <w:rFonts w:ascii="Cambria" w:hAnsi="Cambria"/>
      <w:bCs/>
      <w:color w:val="auto"/>
      <w:kern w:val="32"/>
      <w:sz w:val="32"/>
      <w:szCs w:val="32"/>
    </w:rPr>
  </w:style>
  <w:style w:type="character" w:styleId="ExempleHTML">
    <w:name w:val="HTML Sample"/>
    <w:uiPriority w:val="99"/>
    <w:semiHidden/>
    <w:unhideWhenUsed/>
    <w:rsid w:val="00FE70CA"/>
    <w:rPr>
      <w:rFonts w:ascii="Courier New" w:hAnsi="Courier New" w:cs="Courier New"/>
    </w:rPr>
  </w:style>
  <w:style w:type="paragraph" w:styleId="Explorateurdedocuments">
    <w:name w:val="Document Map"/>
    <w:basedOn w:val="Normal"/>
    <w:link w:val="ExplorateurdedocumentsCar"/>
    <w:uiPriority w:val="99"/>
    <w:semiHidden/>
    <w:unhideWhenUsed/>
    <w:rsid w:val="00FE70CA"/>
    <w:rPr>
      <w:rFonts w:ascii="Tahoma" w:hAnsi="Tahoma" w:cs="Tahoma"/>
      <w:sz w:val="16"/>
      <w:szCs w:val="16"/>
    </w:rPr>
  </w:style>
  <w:style w:type="character" w:customStyle="1" w:styleId="ExplorateurdedocumentsCar">
    <w:name w:val="Explorateur de documents Car"/>
    <w:link w:val="Explorateurdedocuments"/>
    <w:uiPriority w:val="99"/>
    <w:semiHidden/>
    <w:rsid w:val="00FE70CA"/>
    <w:rPr>
      <w:rFonts w:ascii="Tahoma" w:hAnsi="Tahoma" w:cs="Tahoma"/>
      <w:noProof/>
      <w:sz w:val="16"/>
      <w:szCs w:val="16"/>
    </w:rPr>
  </w:style>
  <w:style w:type="paragraph" w:styleId="Formuledepolitesse">
    <w:name w:val="Closing"/>
    <w:basedOn w:val="Normal"/>
    <w:link w:val="FormuledepolitesseCar"/>
    <w:uiPriority w:val="99"/>
    <w:semiHidden/>
    <w:unhideWhenUsed/>
    <w:rsid w:val="00FE70CA"/>
    <w:pPr>
      <w:ind w:left="4252"/>
    </w:pPr>
  </w:style>
  <w:style w:type="character" w:customStyle="1" w:styleId="FormuledepolitesseCar">
    <w:name w:val="Formule de politesse Car"/>
    <w:link w:val="Formuledepolitesse"/>
    <w:uiPriority w:val="99"/>
    <w:semiHidden/>
    <w:rsid w:val="00FE70CA"/>
    <w:rPr>
      <w:rFonts w:ascii="Tw Cen MT" w:hAnsi="Tw Cen MT"/>
      <w:noProof/>
    </w:rPr>
  </w:style>
  <w:style w:type="table" w:styleId="Grilleclaire">
    <w:name w:val="Light Grid"/>
    <w:basedOn w:val="TableauNormal"/>
    <w:uiPriority w:val="62"/>
    <w:rsid w:val="00FE70CA"/>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E70C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E70CA"/>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E70C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E70CA"/>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E70CA"/>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E70CA"/>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E70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E70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E70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E70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E70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E70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E70C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FE70CA"/>
    <w:pPr>
      <w:tabs>
        <w:tab w:val="left" w:pos="1134"/>
      </w:tabs>
      <w:spacing w:after="60"/>
      <w:ind w:left="708"/>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E70CA"/>
    <w:pPr>
      <w:tabs>
        <w:tab w:val="left" w:pos="1134"/>
      </w:tabs>
      <w:spacing w:after="60"/>
      <w:ind w:left="708"/>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E70CA"/>
    <w:pPr>
      <w:tabs>
        <w:tab w:val="left" w:pos="1134"/>
      </w:tabs>
      <w:spacing w:after="60"/>
      <w:ind w:left="708"/>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E70CA"/>
    <w:pPr>
      <w:tabs>
        <w:tab w:val="left" w:pos="1134"/>
      </w:tabs>
      <w:spacing w:after="60"/>
      <w:ind w:left="708"/>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E70CA"/>
    <w:pPr>
      <w:tabs>
        <w:tab w:val="left" w:pos="1134"/>
      </w:tabs>
      <w:spacing w:after="60"/>
      <w:ind w:left="708"/>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E70CA"/>
    <w:pPr>
      <w:tabs>
        <w:tab w:val="left" w:pos="1134"/>
      </w:tabs>
      <w:spacing w:after="60"/>
      <w:ind w:left="708"/>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E70CA"/>
    <w:pPr>
      <w:tabs>
        <w:tab w:val="left" w:pos="1134"/>
      </w:tabs>
      <w:spacing w:after="60"/>
      <w:ind w:left="708"/>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E70CA"/>
    <w:pPr>
      <w:tabs>
        <w:tab w:val="left" w:pos="1134"/>
      </w:tabs>
      <w:spacing w:after="60"/>
      <w:ind w:left="708"/>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FE70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E70C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E70C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E70C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E70C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E70C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E70C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E70C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E70C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E70C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E70C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E70C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E70C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E70C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E70C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E70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E70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E70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E70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E70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E70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E70C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FE70CA"/>
    <w:pPr>
      <w:tabs>
        <w:tab w:val="clear" w:pos="1134"/>
      </w:tabs>
      <w:ind w:left="200" w:hanging="200"/>
    </w:pPr>
  </w:style>
  <w:style w:type="paragraph" w:styleId="Index2">
    <w:name w:val="index 2"/>
    <w:basedOn w:val="Normal"/>
    <w:next w:val="Normal"/>
    <w:uiPriority w:val="99"/>
    <w:semiHidden/>
    <w:unhideWhenUsed/>
    <w:rsid w:val="00FE70CA"/>
    <w:pPr>
      <w:tabs>
        <w:tab w:val="clear" w:pos="1134"/>
      </w:tabs>
      <w:ind w:left="400" w:hanging="200"/>
    </w:pPr>
  </w:style>
  <w:style w:type="paragraph" w:styleId="Index3">
    <w:name w:val="index 3"/>
    <w:basedOn w:val="Normal"/>
    <w:next w:val="Normal"/>
    <w:uiPriority w:val="99"/>
    <w:semiHidden/>
    <w:unhideWhenUsed/>
    <w:rsid w:val="00FE70CA"/>
    <w:pPr>
      <w:tabs>
        <w:tab w:val="clear" w:pos="1134"/>
      </w:tabs>
      <w:ind w:left="600" w:hanging="200"/>
    </w:pPr>
  </w:style>
  <w:style w:type="paragraph" w:styleId="Index4">
    <w:name w:val="index 4"/>
    <w:basedOn w:val="Normal"/>
    <w:next w:val="Normal"/>
    <w:uiPriority w:val="99"/>
    <w:semiHidden/>
    <w:unhideWhenUsed/>
    <w:rsid w:val="00FE70CA"/>
    <w:pPr>
      <w:tabs>
        <w:tab w:val="clear" w:pos="1134"/>
      </w:tabs>
      <w:ind w:left="800" w:hanging="200"/>
    </w:pPr>
  </w:style>
  <w:style w:type="paragraph" w:styleId="Index5">
    <w:name w:val="index 5"/>
    <w:basedOn w:val="Normal"/>
    <w:next w:val="Normal"/>
    <w:uiPriority w:val="99"/>
    <w:semiHidden/>
    <w:unhideWhenUsed/>
    <w:rsid w:val="00FE70CA"/>
    <w:pPr>
      <w:tabs>
        <w:tab w:val="clear" w:pos="1134"/>
      </w:tabs>
      <w:ind w:left="1000" w:hanging="200"/>
    </w:pPr>
  </w:style>
  <w:style w:type="paragraph" w:styleId="Index6">
    <w:name w:val="index 6"/>
    <w:basedOn w:val="Normal"/>
    <w:next w:val="Normal"/>
    <w:uiPriority w:val="99"/>
    <w:semiHidden/>
    <w:unhideWhenUsed/>
    <w:rsid w:val="00FE70CA"/>
    <w:pPr>
      <w:tabs>
        <w:tab w:val="clear" w:pos="1134"/>
      </w:tabs>
      <w:ind w:left="1200" w:hanging="200"/>
    </w:pPr>
  </w:style>
  <w:style w:type="paragraph" w:styleId="Index7">
    <w:name w:val="index 7"/>
    <w:basedOn w:val="Normal"/>
    <w:next w:val="Normal"/>
    <w:uiPriority w:val="99"/>
    <w:semiHidden/>
    <w:unhideWhenUsed/>
    <w:rsid w:val="00FE70CA"/>
    <w:pPr>
      <w:tabs>
        <w:tab w:val="clear" w:pos="1134"/>
      </w:tabs>
      <w:ind w:left="1400" w:hanging="200"/>
    </w:pPr>
  </w:style>
  <w:style w:type="paragraph" w:styleId="Index8">
    <w:name w:val="index 8"/>
    <w:basedOn w:val="Normal"/>
    <w:next w:val="Normal"/>
    <w:uiPriority w:val="99"/>
    <w:semiHidden/>
    <w:unhideWhenUsed/>
    <w:rsid w:val="00FE70CA"/>
    <w:pPr>
      <w:tabs>
        <w:tab w:val="clear" w:pos="1134"/>
      </w:tabs>
      <w:ind w:left="1600" w:hanging="200"/>
    </w:pPr>
  </w:style>
  <w:style w:type="paragraph" w:styleId="Index9">
    <w:name w:val="index 9"/>
    <w:basedOn w:val="Normal"/>
    <w:next w:val="Normal"/>
    <w:uiPriority w:val="99"/>
    <w:semiHidden/>
    <w:unhideWhenUsed/>
    <w:rsid w:val="00FE70CA"/>
    <w:pPr>
      <w:tabs>
        <w:tab w:val="clear" w:pos="1134"/>
      </w:tabs>
      <w:ind w:left="1800" w:hanging="200"/>
    </w:pPr>
  </w:style>
  <w:style w:type="paragraph" w:styleId="Lgende">
    <w:name w:val="caption"/>
    <w:basedOn w:val="Normal"/>
    <w:next w:val="Normal"/>
    <w:uiPriority w:val="35"/>
    <w:semiHidden/>
    <w:unhideWhenUsed/>
    <w:qFormat/>
    <w:rsid w:val="00FE70CA"/>
    <w:rPr>
      <w:b/>
      <w:bCs/>
    </w:rPr>
  </w:style>
  <w:style w:type="character" w:styleId="Lienhypertextesuivivisit">
    <w:name w:val="FollowedHyperlink"/>
    <w:uiPriority w:val="99"/>
    <w:semiHidden/>
    <w:unhideWhenUsed/>
    <w:rsid w:val="00FE70CA"/>
    <w:rPr>
      <w:color w:val="800080"/>
      <w:u w:val="single"/>
    </w:rPr>
  </w:style>
  <w:style w:type="paragraph" w:styleId="Liste">
    <w:name w:val="List"/>
    <w:basedOn w:val="Normal"/>
    <w:uiPriority w:val="99"/>
    <w:semiHidden/>
    <w:unhideWhenUsed/>
    <w:rsid w:val="00FE70CA"/>
    <w:pPr>
      <w:ind w:left="283" w:hanging="283"/>
      <w:contextualSpacing/>
    </w:pPr>
  </w:style>
  <w:style w:type="paragraph" w:styleId="Liste2">
    <w:name w:val="List 2"/>
    <w:basedOn w:val="Normal"/>
    <w:uiPriority w:val="99"/>
    <w:semiHidden/>
    <w:unhideWhenUsed/>
    <w:rsid w:val="00FE70CA"/>
    <w:pPr>
      <w:ind w:left="566" w:hanging="283"/>
      <w:contextualSpacing/>
    </w:pPr>
  </w:style>
  <w:style w:type="paragraph" w:styleId="Liste3">
    <w:name w:val="List 3"/>
    <w:basedOn w:val="Normal"/>
    <w:uiPriority w:val="99"/>
    <w:semiHidden/>
    <w:unhideWhenUsed/>
    <w:rsid w:val="00FE70CA"/>
    <w:pPr>
      <w:ind w:left="849" w:hanging="283"/>
      <w:contextualSpacing/>
    </w:pPr>
  </w:style>
  <w:style w:type="paragraph" w:styleId="Liste4">
    <w:name w:val="List 4"/>
    <w:basedOn w:val="Normal"/>
    <w:uiPriority w:val="99"/>
    <w:semiHidden/>
    <w:unhideWhenUsed/>
    <w:rsid w:val="00FE70CA"/>
    <w:pPr>
      <w:ind w:left="1132" w:hanging="283"/>
      <w:contextualSpacing/>
    </w:pPr>
  </w:style>
  <w:style w:type="paragraph" w:styleId="Liste5">
    <w:name w:val="List 5"/>
    <w:basedOn w:val="Normal"/>
    <w:uiPriority w:val="99"/>
    <w:semiHidden/>
    <w:unhideWhenUsed/>
    <w:rsid w:val="00FE70CA"/>
    <w:pPr>
      <w:ind w:left="1415" w:hanging="283"/>
      <w:contextualSpacing/>
    </w:pPr>
  </w:style>
  <w:style w:type="paragraph" w:styleId="Listenumros">
    <w:name w:val="List Number"/>
    <w:basedOn w:val="Normal"/>
    <w:uiPriority w:val="99"/>
    <w:semiHidden/>
    <w:unhideWhenUsed/>
    <w:rsid w:val="00FE70CA"/>
    <w:pPr>
      <w:numPr>
        <w:numId w:val="11"/>
      </w:numPr>
      <w:contextualSpacing/>
    </w:pPr>
  </w:style>
  <w:style w:type="paragraph" w:styleId="Listenumros2">
    <w:name w:val="List Number 2"/>
    <w:basedOn w:val="Normal"/>
    <w:uiPriority w:val="99"/>
    <w:semiHidden/>
    <w:unhideWhenUsed/>
    <w:rsid w:val="00FE70CA"/>
    <w:pPr>
      <w:numPr>
        <w:numId w:val="12"/>
      </w:numPr>
      <w:contextualSpacing/>
    </w:pPr>
  </w:style>
  <w:style w:type="paragraph" w:styleId="Listenumros3">
    <w:name w:val="List Number 3"/>
    <w:basedOn w:val="Normal"/>
    <w:uiPriority w:val="99"/>
    <w:semiHidden/>
    <w:unhideWhenUsed/>
    <w:rsid w:val="00FE70CA"/>
    <w:pPr>
      <w:numPr>
        <w:numId w:val="13"/>
      </w:numPr>
      <w:contextualSpacing/>
    </w:pPr>
  </w:style>
  <w:style w:type="paragraph" w:styleId="Listenumros4">
    <w:name w:val="List Number 4"/>
    <w:basedOn w:val="Normal"/>
    <w:uiPriority w:val="99"/>
    <w:semiHidden/>
    <w:unhideWhenUsed/>
    <w:rsid w:val="00FE70CA"/>
    <w:pPr>
      <w:numPr>
        <w:numId w:val="14"/>
      </w:numPr>
      <w:contextualSpacing/>
    </w:pPr>
  </w:style>
  <w:style w:type="paragraph" w:styleId="Listenumros5">
    <w:name w:val="List Number 5"/>
    <w:basedOn w:val="Normal"/>
    <w:uiPriority w:val="99"/>
    <w:semiHidden/>
    <w:unhideWhenUsed/>
    <w:rsid w:val="00FE70CA"/>
    <w:pPr>
      <w:numPr>
        <w:numId w:val="15"/>
      </w:numPr>
      <w:contextualSpacing/>
    </w:pPr>
  </w:style>
  <w:style w:type="paragraph" w:styleId="Listepuces">
    <w:name w:val="List Bullet"/>
    <w:basedOn w:val="Normal"/>
    <w:uiPriority w:val="99"/>
    <w:semiHidden/>
    <w:unhideWhenUsed/>
    <w:rsid w:val="00FE70CA"/>
    <w:pPr>
      <w:numPr>
        <w:numId w:val="16"/>
      </w:numPr>
      <w:contextualSpacing/>
    </w:pPr>
  </w:style>
  <w:style w:type="paragraph" w:styleId="Listepuces2">
    <w:name w:val="List Bullet 2"/>
    <w:basedOn w:val="Normal"/>
    <w:uiPriority w:val="99"/>
    <w:semiHidden/>
    <w:unhideWhenUsed/>
    <w:rsid w:val="00FE70CA"/>
    <w:pPr>
      <w:numPr>
        <w:numId w:val="17"/>
      </w:numPr>
      <w:contextualSpacing/>
    </w:pPr>
  </w:style>
  <w:style w:type="paragraph" w:styleId="Listepuces3">
    <w:name w:val="List Bullet 3"/>
    <w:basedOn w:val="Normal"/>
    <w:uiPriority w:val="99"/>
    <w:semiHidden/>
    <w:unhideWhenUsed/>
    <w:rsid w:val="00FE70CA"/>
    <w:pPr>
      <w:numPr>
        <w:numId w:val="18"/>
      </w:numPr>
      <w:contextualSpacing/>
    </w:pPr>
  </w:style>
  <w:style w:type="paragraph" w:styleId="Listepuces4">
    <w:name w:val="List Bullet 4"/>
    <w:basedOn w:val="Normal"/>
    <w:uiPriority w:val="99"/>
    <w:semiHidden/>
    <w:unhideWhenUsed/>
    <w:rsid w:val="00FE70CA"/>
    <w:pPr>
      <w:numPr>
        <w:numId w:val="19"/>
      </w:numPr>
      <w:contextualSpacing/>
    </w:pPr>
  </w:style>
  <w:style w:type="paragraph" w:styleId="Listepuces5">
    <w:name w:val="List Bullet 5"/>
    <w:basedOn w:val="Normal"/>
    <w:uiPriority w:val="99"/>
    <w:semiHidden/>
    <w:unhideWhenUsed/>
    <w:rsid w:val="00FE70CA"/>
    <w:pPr>
      <w:numPr>
        <w:numId w:val="20"/>
      </w:numPr>
      <w:contextualSpacing/>
    </w:pPr>
  </w:style>
  <w:style w:type="table" w:styleId="Listeclaire">
    <w:name w:val="Light List"/>
    <w:basedOn w:val="TableauNormal"/>
    <w:uiPriority w:val="61"/>
    <w:rsid w:val="00FE70C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E70C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E70CA"/>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E70C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E70C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E70CA"/>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E70CA"/>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FE70CA"/>
    <w:pPr>
      <w:spacing w:after="120"/>
      <w:ind w:left="283"/>
      <w:contextualSpacing/>
    </w:pPr>
  </w:style>
  <w:style w:type="paragraph" w:styleId="Listecontinue2">
    <w:name w:val="List Continue 2"/>
    <w:basedOn w:val="Normal"/>
    <w:uiPriority w:val="99"/>
    <w:semiHidden/>
    <w:unhideWhenUsed/>
    <w:rsid w:val="00FE70CA"/>
    <w:pPr>
      <w:spacing w:after="120"/>
      <w:ind w:left="566"/>
      <w:contextualSpacing/>
    </w:pPr>
  </w:style>
  <w:style w:type="paragraph" w:styleId="Listecontinue3">
    <w:name w:val="List Continue 3"/>
    <w:basedOn w:val="Normal"/>
    <w:uiPriority w:val="99"/>
    <w:semiHidden/>
    <w:unhideWhenUsed/>
    <w:rsid w:val="00FE70CA"/>
    <w:pPr>
      <w:spacing w:after="120"/>
      <w:ind w:left="849"/>
      <w:contextualSpacing/>
    </w:pPr>
  </w:style>
  <w:style w:type="paragraph" w:styleId="Listecontinue4">
    <w:name w:val="List Continue 4"/>
    <w:basedOn w:val="Normal"/>
    <w:uiPriority w:val="99"/>
    <w:semiHidden/>
    <w:unhideWhenUsed/>
    <w:rsid w:val="00FE70CA"/>
    <w:pPr>
      <w:spacing w:after="120"/>
      <w:ind w:left="1132"/>
      <w:contextualSpacing/>
    </w:pPr>
  </w:style>
  <w:style w:type="paragraph" w:styleId="Listecontinue5">
    <w:name w:val="List Continue 5"/>
    <w:basedOn w:val="Normal"/>
    <w:uiPriority w:val="99"/>
    <w:semiHidden/>
    <w:unhideWhenUsed/>
    <w:rsid w:val="00FE70CA"/>
    <w:pPr>
      <w:spacing w:after="120"/>
      <w:ind w:left="1415"/>
      <w:contextualSpacing/>
    </w:pPr>
  </w:style>
  <w:style w:type="table" w:styleId="Listecouleur">
    <w:name w:val="Colorful List"/>
    <w:basedOn w:val="TableauNormal"/>
    <w:uiPriority w:val="72"/>
    <w:rsid w:val="00FE70CA"/>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E70CA"/>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E70CA"/>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E70CA"/>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E70CA"/>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E70CA"/>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E70CA"/>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E70CA"/>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E70CA"/>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E70CA"/>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E70CA"/>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E70CA"/>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E70CA"/>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E70CA"/>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E70C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E70CA"/>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E70CA"/>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E70CA"/>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E70CA"/>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E70CA"/>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E70CA"/>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E70C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E70C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E70C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E70C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E70C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E70C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E70C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FE70CA"/>
    <w:rPr>
      <w:rFonts w:ascii="Courier New" w:hAnsi="Courier New" w:cs="Courier New"/>
      <w:sz w:val="20"/>
      <w:szCs w:val="20"/>
    </w:rPr>
  </w:style>
  <w:style w:type="character" w:styleId="Marquedecommentaire">
    <w:name w:val="annotation reference"/>
    <w:uiPriority w:val="99"/>
    <w:semiHidden/>
    <w:unhideWhenUsed/>
    <w:rsid w:val="00FE70CA"/>
    <w:rPr>
      <w:sz w:val="16"/>
      <w:szCs w:val="16"/>
    </w:rPr>
  </w:style>
  <w:style w:type="paragraph" w:styleId="NormalWeb">
    <w:name w:val="Normal (Web)"/>
    <w:basedOn w:val="Normal"/>
    <w:uiPriority w:val="99"/>
    <w:semiHidden/>
    <w:unhideWhenUsed/>
    <w:rsid w:val="00FE70CA"/>
    <w:rPr>
      <w:rFonts w:ascii="Times New Roman" w:hAnsi="Times New Roman"/>
      <w:sz w:val="24"/>
      <w:szCs w:val="24"/>
    </w:rPr>
  </w:style>
  <w:style w:type="paragraph" w:styleId="Normalcentr">
    <w:name w:val="Block Text"/>
    <w:basedOn w:val="Normal"/>
    <w:uiPriority w:val="99"/>
    <w:semiHidden/>
    <w:unhideWhenUsed/>
    <w:rsid w:val="00FE70CA"/>
    <w:pPr>
      <w:spacing w:after="120"/>
      <w:ind w:left="1440" w:right="1440"/>
    </w:pPr>
  </w:style>
  <w:style w:type="paragraph" w:styleId="Notedebasdepage">
    <w:name w:val="footnote text"/>
    <w:basedOn w:val="Normal"/>
    <w:link w:val="NotedebasdepageCar"/>
    <w:uiPriority w:val="99"/>
    <w:semiHidden/>
    <w:unhideWhenUsed/>
    <w:rsid w:val="00FE70CA"/>
  </w:style>
  <w:style w:type="character" w:customStyle="1" w:styleId="NotedebasdepageCar">
    <w:name w:val="Note de bas de page Car"/>
    <w:link w:val="Notedebasdepage"/>
    <w:uiPriority w:val="99"/>
    <w:semiHidden/>
    <w:rsid w:val="00FE70CA"/>
    <w:rPr>
      <w:rFonts w:ascii="Tw Cen MT" w:hAnsi="Tw Cen MT"/>
      <w:noProof/>
    </w:rPr>
  </w:style>
  <w:style w:type="paragraph" w:styleId="Notedefin">
    <w:name w:val="endnote text"/>
    <w:basedOn w:val="Normal"/>
    <w:link w:val="NotedefinCar"/>
    <w:uiPriority w:val="99"/>
    <w:semiHidden/>
    <w:unhideWhenUsed/>
    <w:rsid w:val="00FE70CA"/>
  </w:style>
  <w:style w:type="character" w:customStyle="1" w:styleId="NotedefinCar">
    <w:name w:val="Note de fin Car"/>
    <w:link w:val="Notedefin"/>
    <w:uiPriority w:val="99"/>
    <w:semiHidden/>
    <w:rsid w:val="00FE70CA"/>
    <w:rPr>
      <w:rFonts w:ascii="Tw Cen MT" w:hAnsi="Tw Cen MT"/>
      <w:noProof/>
    </w:rPr>
  </w:style>
  <w:style w:type="character" w:styleId="Numrodeligne">
    <w:name w:val="line number"/>
    <w:uiPriority w:val="99"/>
    <w:semiHidden/>
    <w:unhideWhenUsed/>
    <w:rsid w:val="00FE70CA"/>
  </w:style>
  <w:style w:type="paragraph" w:styleId="Objetducommentaire">
    <w:name w:val="annotation subject"/>
    <w:basedOn w:val="Commentaire"/>
    <w:next w:val="Commentaire"/>
    <w:link w:val="ObjetducommentaireCar"/>
    <w:uiPriority w:val="99"/>
    <w:semiHidden/>
    <w:unhideWhenUsed/>
    <w:rsid w:val="00FE70CA"/>
    <w:rPr>
      <w:b/>
      <w:bCs/>
    </w:rPr>
  </w:style>
  <w:style w:type="character" w:customStyle="1" w:styleId="ObjetducommentaireCar">
    <w:name w:val="Objet du commentaire Car"/>
    <w:link w:val="Objetducommentaire"/>
    <w:uiPriority w:val="99"/>
    <w:semiHidden/>
    <w:rsid w:val="00FE70CA"/>
    <w:rPr>
      <w:rFonts w:ascii="Tw Cen MT" w:hAnsi="Tw Cen MT"/>
      <w:b/>
      <w:bCs/>
      <w:noProof/>
    </w:rPr>
  </w:style>
  <w:style w:type="table" w:styleId="Ombrageclair">
    <w:name w:val="Light Shading"/>
    <w:basedOn w:val="TableauNormal"/>
    <w:uiPriority w:val="60"/>
    <w:rsid w:val="00FE70C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E70CA"/>
  </w:style>
  <w:style w:type="paragraph" w:styleId="PrformatHTML">
    <w:name w:val="HTML Preformatted"/>
    <w:basedOn w:val="Normal"/>
    <w:link w:val="PrformatHTMLCar"/>
    <w:uiPriority w:val="99"/>
    <w:semiHidden/>
    <w:unhideWhenUsed/>
    <w:rsid w:val="00FE70CA"/>
    <w:rPr>
      <w:rFonts w:ascii="Courier New" w:hAnsi="Courier New" w:cs="Courier New"/>
    </w:rPr>
  </w:style>
  <w:style w:type="character" w:customStyle="1" w:styleId="PrformatHTMLCar">
    <w:name w:val="Préformaté HTML Car"/>
    <w:link w:val="PrformatHTML"/>
    <w:uiPriority w:val="99"/>
    <w:semiHidden/>
    <w:rsid w:val="00FE70CA"/>
    <w:rPr>
      <w:rFonts w:ascii="Courier New" w:hAnsi="Courier New" w:cs="Courier New"/>
      <w:noProof/>
    </w:rPr>
  </w:style>
  <w:style w:type="character" w:styleId="Rfrenceintense">
    <w:name w:val="Intense Reference"/>
    <w:uiPriority w:val="32"/>
    <w:qFormat/>
    <w:rsid w:val="00FE70CA"/>
    <w:rPr>
      <w:b/>
      <w:bCs/>
      <w:smallCaps/>
      <w:color w:val="C0504D"/>
      <w:spacing w:val="5"/>
      <w:u w:val="single"/>
    </w:rPr>
  </w:style>
  <w:style w:type="character" w:styleId="Rfrenceple">
    <w:name w:val="Subtle Reference"/>
    <w:uiPriority w:val="31"/>
    <w:qFormat/>
    <w:rsid w:val="00FE70CA"/>
    <w:rPr>
      <w:smallCaps/>
      <w:color w:val="C0504D"/>
      <w:u w:val="single"/>
    </w:rPr>
  </w:style>
  <w:style w:type="paragraph" w:styleId="Retrait1religne">
    <w:name w:val="Body Text First Indent"/>
    <w:basedOn w:val="Corpsdetexte"/>
    <w:link w:val="Retrait1religneCar"/>
    <w:uiPriority w:val="99"/>
    <w:semiHidden/>
    <w:unhideWhenUsed/>
    <w:rsid w:val="00FE70CA"/>
    <w:pPr>
      <w:ind w:firstLine="210"/>
    </w:pPr>
  </w:style>
  <w:style w:type="character" w:customStyle="1" w:styleId="Retrait1religneCar">
    <w:name w:val="Retrait 1re ligne Car"/>
    <w:basedOn w:val="CorpsdetexteCar"/>
    <w:link w:val="Retrait1religne"/>
    <w:uiPriority w:val="99"/>
    <w:semiHidden/>
    <w:rsid w:val="00FE70CA"/>
    <w:rPr>
      <w:rFonts w:ascii="Tw Cen MT" w:hAnsi="Tw Cen MT"/>
      <w:noProof/>
    </w:rPr>
  </w:style>
  <w:style w:type="paragraph" w:styleId="Retraitcorpsdetexte">
    <w:name w:val="Body Text Indent"/>
    <w:basedOn w:val="Normal"/>
    <w:link w:val="RetraitcorpsdetexteCar"/>
    <w:uiPriority w:val="99"/>
    <w:semiHidden/>
    <w:unhideWhenUsed/>
    <w:rsid w:val="00FE70CA"/>
    <w:pPr>
      <w:spacing w:after="120"/>
      <w:ind w:left="283"/>
    </w:pPr>
  </w:style>
  <w:style w:type="character" w:customStyle="1" w:styleId="RetraitcorpsdetexteCar">
    <w:name w:val="Retrait corps de texte Car"/>
    <w:link w:val="Retraitcorpsdetexte"/>
    <w:uiPriority w:val="99"/>
    <w:semiHidden/>
    <w:rsid w:val="00FE70CA"/>
    <w:rPr>
      <w:rFonts w:ascii="Tw Cen MT" w:hAnsi="Tw Cen MT"/>
      <w:noProof/>
    </w:rPr>
  </w:style>
  <w:style w:type="paragraph" w:styleId="Retraitcorpsdetexte2">
    <w:name w:val="Body Text Indent 2"/>
    <w:basedOn w:val="Normal"/>
    <w:link w:val="Retraitcorpsdetexte2Car"/>
    <w:uiPriority w:val="99"/>
    <w:semiHidden/>
    <w:unhideWhenUsed/>
    <w:rsid w:val="00FE70CA"/>
    <w:pPr>
      <w:spacing w:after="120" w:line="480" w:lineRule="auto"/>
      <w:ind w:left="283"/>
    </w:pPr>
  </w:style>
  <w:style w:type="character" w:customStyle="1" w:styleId="Retraitcorpsdetexte2Car">
    <w:name w:val="Retrait corps de texte 2 Car"/>
    <w:link w:val="Retraitcorpsdetexte2"/>
    <w:uiPriority w:val="99"/>
    <w:semiHidden/>
    <w:rsid w:val="00FE70CA"/>
    <w:rPr>
      <w:rFonts w:ascii="Tw Cen MT" w:hAnsi="Tw Cen MT"/>
      <w:noProof/>
    </w:rPr>
  </w:style>
  <w:style w:type="paragraph" w:styleId="Retraitcorpsdetexte3">
    <w:name w:val="Body Text Indent 3"/>
    <w:basedOn w:val="Normal"/>
    <w:link w:val="Retraitcorpsdetexte3Car"/>
    <w:uiPriority w:val="99"/>
    <w:semiHidden/>
    <w:unhideWhenUsed/>
    <w:rsid w:val="00FE70CA"/>
    <w:pPr>
      <w:spacing w:after="120"/>
      <w:ind w:left="283"/>
    </w:pPr>
    <w:rPr>
      <w:sz w:val="16"/>
      <w:szCs w:val="16"/>
    </w:rPr>
  </w:style>
  <w:style w:type="character" w:customStyle="1" w:styleId="Retraitcorpsdetexte3Car">
    <w:name w:val="Retrait corps de texte 3 Car"/>
    <w:link w:val="Retraitcorpsdetexte3"/>
    <w:uiPriority w:val="99"/>
    <w:semiHidden/>
    <w:rsid w:val="00FE70CA"/>
    <w:rPr>
      <w:rFonts w:ascii="Tw Cen MT" w:hAnsi="Tw Cen MT"/>
      <w:noProof/>
      <w:sz w:val="16"/>
      <w:szCs w:val="16"/>
    </w:rPr>
  </w:style>
  <w:style w:type="paragraph" w:styleId="Retraitcorpset1relig">
    <w:name w:val="Body Text First Indent 2"/>
    <w:basedOn w:val="Retraitcorpsdetexte"/>
    <w:link w:val="Retraitcorpset1religCar"/>
    <w:uiPriority w:val="99"/>
    <w:semiHidden/>
    <w:unhideWhenUsed/>
    <w:rsid w:val="00FE70CA"/>
    <w:pPr>
      <w:ind w:firstLine="210"/>
    </w:pPr>
  </w:style>
  <w:style w:type="character" w:customStyle="1" w:styleId="Retraitcorpset1religCar">
    <w:name w:val="Retrait corps et 1re lig. Car"/>
    <w:basedOn w:val="RetraitcorpsdetexteCar"/>
    <w:link w:val="Retraitcorpset1relig"/>
    <w:uiPriority w:val="99"/>
    <w:semiHidden/>
    <w:rsid w:val="00FE70CA"/>
    <w:rPr>
      <w:rFonts w:ascii="Tw Cen MT" w:hAnsi="Tw Cen MT"/>
      <w:noProof/>
    </w:rPr>
  </w:style>
  <w:style w:type="paragraph" w:styleId="Retraitnormal">
    <w:name w:val="Normal Indent"/>
    <w:basedOn w:val="Normal"/>
    <w:uiPriority w:val="99"/>
    <w:semiHidden/>
    <w:unhideWhenUsed/>
    <w:rsid w:val="00FE70CA"/>
  </w:style>
  <w:style w:type="paragraph" w:styleId="Salutations">
    <w:name w:val="Salutation"/>
    <w:basedOn w:val="Normal"/>
    <w:next w:val="Normal"/>
    <w:link w:val="SalutationsCar"/>
    <w:uiPriority w:val="99"/>
    <w:semiHidden/>
    <w:unhideWhenUsed/>
    <w:rsid w:val="00FE70CA"/>
  </w:style>
  <w:style w:type="character" w:customStyle="1" w:styleId="SalutationsCar">
    <w:name w:val="Salutations Car"/>
    <w:link w:val="Salutations"/>
    <w:uiPriority w:val="99"/>
    <w:semiHidden/>
    <w:rsid w:val="00FE70CA"/>
    <w:rPr>
      <w:rFonts w:ascii="Tw Cen MT" w:hAnsi="Tw Cen MT"/>
      <w:noProof/>
    </w:rPr>
  </w:style>
  <w:style w:type="paragraph" w:styleId="Sansinterligne">
    <w:name w:val="No Spacing"/>
    <w:uiPriority w:val="1"/>
    <w:qFormat/>
    <w:rsid w:val="00FE70CA"/>
    <w:pPr>
      <w:tabs>
        <w:tab w:val="left" w:pos="1134"/>
      </w:tabs>
      <w:ind w:left="708"/>
      <w:jc w:val="both"/>
    </w:pPr>
    <w:rPr>
      <w:rFonts w:ascii="Tw Cen MT" w:hAnsi="Tw Cen MT"/>
      <w:noProof/>
    </w:rPr>
  </w:style>
  <w:style w:type="paragraph" w:styleId="Signature">
    <w:name w:val="Signature"/>
    <w:basedOn w:val="Normal"/>
    <w:link w:val="SignatureCar"/>
    <w:uiPriority w:val="99"/>
    <w:semiHidden/>
    <w:unhideWhenUsed/>
    <w:rsid w:val="00FE70CA"/>
    <w:pPr>
      <w:ind w:left="4252"/>
    </w:pPr>
  </w:style>
  <w:style w:type="character" w:customStyle="1" w:styleId="SignatureCar">
    <w:name w:val="Signature Car"/>
    <w:link w:val="Signature"/>
    <w:uiPriority w:val="99"/>
    <w:semiHidden/>
    <w:rsid w:val="00FE70CA"/>
    <w:rPr>
      <w:rFonts w:ascii="Tw Cen MT" w:hAnsi="Tw Cen MT"/>
      <w:noProof/>
    </w:rPr>
  </w:style>
  <w:style w:type="paragraph" w:styleId="Signaturelectronique">
    <w:name w:val="E-mail Signature"/>
    <w:basedOn w:val="Normal"/>
    <w:link w:val="SignaturelectroniqueCar"/>
    <w:uiPriority w:val="99"/>
    <w:semiHidden/>
    <w:unhideWhenUsed/>
    <w:rsid w:val="00FE70CA"/>
  </w:style>
  <w:style w:type="character" w:customStyle="1" w:styleId="SignaturelectroniqueCar">
    <w:name w:val="Signature électronique Car"/>
    <w:link w:val="Signaturelectronique"/>
    <w:uiPriority w:val="99"/>
    <w:semiHidden/>
    <w:rsid w:val="00FE70CA"/>
    <w:rPr>
      <w:rFonts w:ascii="Tw Cen MT" w:hAnsi="Tw Cen MT"/>
      <w:noProof/>
    </w:rPr>
  </w:style>
  <w:style w:type="paragraph" w:styleId="Sous-titre">
    <w:name w:val="Subtitle"/>
    <w:basedOn w:val="Normal"/>
    <w:next w:val="Normal"/>
    <w:link w:val="Sous-titreCar"/>
    <w:uiPriority w:val="11"/>
    <w:qFormat/>
    <w:rsid w:val="00FE70CA"/>
    <w:pPr>
      <w:jc w:val="center"/>
      <w:outlineLvl w:val="1"/>
    </w:pPr>
    <w:rPr>
      <w:rFonts w:ascii="Cambria" w:hAnsi="Cambria"/>
      <w:sz w:val="24"/>
      <w:szCs w:val="24"/>
    </w:rPr>
  </w:style>
  <w:style w:type="character" w:customStyle="1" w:styleId="Sous-titreCar">
    <w:name w:val="Sous-titre Car"/>
    <w:link w:val="Sous-titre"/>
    <w:uiPriority w:val="11"/>
    <w:rsid w:val="00FE70CA"/>
    <w:rPr>
      <w:rFonts w:ascii="Cambria" w:eastAsia="Times New Roman" w:hAnsi="Cambria" w:cs="Times New Roman"/>
      <w:noProof/>
      <w:sz w:val="24"/>
      <w:szCs w:val="24"/>
    </w:rPr>
  </w:style>
  <w:style w:type="paragraph" w:styleId="Tabledesillustrations">
    <w:name w:val="table of figures"/>
    <w:basedOn w:val="Normal"/>
    <w:next w:val="Normal"/>
    <w:uiPriority w:val="99"/>
    <w:semiHidden/>
    <w:unhideWhenUsed/>
    <w:rsid w:val="00FE70CA"/>
    <w:pPr>
      <w:tabs>
        <w:tab w:val="clear" w:pos="1134"/>
      </w:tabs>
      <w:ind w:left="0"/>
    </w:pPr>
  </w:style>
  <w:style w:type="paragraph" w:styleId="Tabledesrfrencesjuridiques">
    <w:name w:val="table of authorities"/>
    <w:basedOn w:val="Normal"/>
    <w:next w:val="Normal"/>
    <w:uiPriority w:val="99"/>
    <w:semiHidden/>
    <w:unhideWhenUsed/>
    <w:rsid w:val="00FE70CA"/>
    <w:pPr>
      <w:tabs>
        <w:tab w:val="clear" w:pos="1134"/>
      </w:tabs>
      <w:ind w:left="200" w:hanging="200"/>
    </w:pPr>
  </w:style>
  <w:style w:type="table" w:styleId="Tableauclassique1">
    <w:name w:val="Table Classic 1"/>
    <w:basedOn w:val="TableauNormal"/>
    <w:uiPriority w:val="99"/>
    <w:semiHidden/>
    <w:unhideWhenUsed/>
    <w:rsid w:val="00FE70CA"/>
    <w:pPr>
      <w:tabs>
        <w:tab w:val="left" w:pos="1134"/>
      </w:tabs>
      <w:spacing w:after="60"/>
      <w:ind w:left="708"/>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E70CA"/>
    <w:pPr>
      <w:tabs>
        <w:tab w:val="left" w:pos="1134"/>
      </w:tabs>
      <w:spacing w:after="60"/>
      <w:ind w:left="708"/>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E70CA"/>
    <w:pPr>
      <w:tabs>
        <w:tab w:val="left" w:pos="1134"/>
      </w:tabs>
      <w:spacing w:after="60"/>
      <w:ind w:left="708"/>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E70CA"/>
    <w:pPr>
      <w:tabs>
        <w:tab w:val="left" w:pos="1134"/>
      </w:tabs>
      <w:spacing w:after="60"/>
      <w:ind w:left="708"/>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E70CA"/>
    <w:pPr>
      <w:tabs>
        <w:tab w:val="left" w:pos="1134"/>
      </w:tabs>
      <w:spacing w:after="60"/>
      <w:ind w:left="708"/>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E70CA"/>
    <w:pPr>
      <w:tabs>
        <w:tab w:val="left" w:pos="1134"/>
      </w:tabs>
      <w:spacing w:after="60"/>
      <w:ind w:left="708"/>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E70CA"/>
    <w:pPr>
      <w:tabs>
        <w:tab w:val="left" w:pos="1134"/>
      </w:tabs>
      <w:spacing w:after="60"/>
      <w:ind w:left="708"/>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FE70CA"/>
    <w:pPr>
      <w:tabs>
        <w:tab w:val="left" w:pos="1134"/>
      </w:tabs>
      <w:spacing w:after="60"/>
      <w:ind w:left="708"/>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E70CA"/>
    <w:pPr>
      <w:tabs>
        <w:tab w:val="left" w:pos="1134"/>
      </w:tabs>
      <w:spacing w:after="60"/>
      <w:ind w:left="708"/>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FE70CA"/>
    <w:pPr>
      <w:tabs>
        <w:tab w:val="left" w:pos="1134"/>
      </w:tabs>
      <w:spacing w:after="60"/>
      <w:ind w:left="708"/>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FE70CA"/>
    <w:pPr>
      <w:tabs>
        <w:tab w:val="left" w:pos="1134"/>
      </w:tabs>
      <w:spacing w:after="60"/>
      <w:ind w:left="708"/>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FE70CA"/>
    <w:pPr>
      <w:tabs>
        <w:tab w:val="left" w:pos="1134"/>
      </w:tabs>
      <w:spacing w:after="60"/>
      <w:ind w:left="708"/>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FE70CA"/>
    <w:pPr>
      <w:tabs>
        <w:tab w:val="left" w:pos="1134"/>
      </w:tabs>
      <w:spacing w:after="60"/>
      <w:ind w:left="708"/>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E70CA"/>
    <w:pPr>
      <w:tabs>
        <w:tab w:val="left" w:pos="1134"/>
      </w:tabs>
      <w:spacing w:after="60"/>
      <w:ind w:left="708"/>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E70CA"/>
    <w:pPr>
      <w:tabs>
        <w:tab w:val="left" w:pos="1134"/>
      </w:tabs>
      <w:spacing w:after="60"/>
      <w:ind w:left="708"/>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E70CA"/>
    <w:pPr>
      <w:tabs>
        <w:tab w:val="left" w:pos="1134"/>
      </w:tabs>
      <w:spacing w:after="60"/>
      <w:ind w:left="708"/>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E70CA"/>
    <w:pPr>
      <w:tabs>
        <w:tab w:val="left" w:pos="1134"/>
      </w:tabs>
      <w:spacing w:after="60"/>
      <w:ind w:left="708"/>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FE70CA"/>
    <w:pPr>
      <w:tabs>
        <w:tab w:val="left" w:pos="1134"/>
      </w:tabs>
      <w:spacing w:after="60"/>
      <w:ind w:left="708"/>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E70CA"/>
    <w:pPr>
      <w:tabs>
        <w:tab w:val="left" w:pos="1134"/>
      </w:tabs>
      <w:spacing w:after="60"/>
      <w:ind w:left="708"/>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FE70CA"/>
    <w:pPr>
      <w:tabs>
        <w:tab w:val="left" w:pos="1134"/>
      </w:tabs>
      <w:spacing w:after="60"/>
      <w:ind w:left="708"/>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FE70CA"/>
    <w:pPr>
      <w:tabs>
        <w:tab w:val="left" w:pos="1134"/>
      </w:tabs>
      <w:spacing w:after="60"/>
      <w:ind w:left="708"/>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FE70CA"/>
    <w:pPr>
      <w:tabs>
        <w:tab w:val="left" w:pos="1134"/>
      </w:tabs>
      <w:spacing w:after="60"/>
      <w:ind w:left="708"/>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FE70CA"/>
    <w:pPr>
      <w:tabs>
        <w:tab w:val="left" w:pos="1134"/>
      </w:tabs>
      <w:spacing w:after="60"/>
      <w:ind w:left="708"/>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FE70CA"/>
    <w:pPr>
      <w:tabs>
        <w:tab w:val="left" w:pos="1134"/>
      </w:tabs>
      <w:spacing w:after="60"/>
      <w:ind w:left="708"/>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E70CA"/>
    <w:pPr>
      <w:tabs>
        <w:tab w:val="left" w:pos="1134"/>
      </w:tabs>
      <w:spacing w:after="60"/>
      <w:ind w:left="708"/>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E70CA"/>
    <w:pPr>
      <w:tabs>
        <w:tab w:val="left" w:pos="1134"/>
      </w:tabs>
      <w:spacing w:after="60"/>
      <w:ind w:left="708"/>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FE70CA"/>
    <w:rPr>
      <w:rFonts w:ascii="Courier New" w:hAnsi="Courier New" w:cs="Courier New"/>
    </w:rPr>
  </w:style>
  <w:style w:type="character" w:customStyle="1" w:styleId="TextebrutCar">
    <w:name w:val="Texte brut Car"/>
    <w:link w:val="Textebrut"/>
    <w:uiPriority w:val="99"/>
    <w:semiHidden/>
    <w:rsid w:val="00FE70CA"/>
    <w:rPr>
      <w:rFonts w:ascii="Courier New" w:hAnsi="Courier New" w:cs="Courier New"/>
      <w:noProof/>
    </w:rPr>
  </w:style>
  <w:style w:type="paragraph" w:styleId="Textedebulles">
    <w:name w:val="Balloon Text"/>
    <w:basedOn w:val="Normal"/>
    <w:link w:val="TextedebullesCar"/>
    <w:uiPriority w:val="99"/>
    <w:semiHidden/>
    <w:unhideWhenUsed/>
    <w:rsid w:val="00FE70CA"/>
    <w:pPr>
      <w:spacing w:after="0"/>
    </w:pPr>
    <w:rPr>
      <w:rFonts w:ascii="Tahoma" w:hAnsi="Tahoma" w:cs="Tahoma"/>
      <w:sz w:val="16"/>
      <w:szCs w:val="16"/>
    </w:rPr>
  </w:style>
  <w:style w:type="character" w:customStyle="1" w:styleId="TextedebullesCar">
    <w:name w:val="Texte de bulles Car"/>
    <w:link w:val="Textedebulles"/>
    <w:uiPriority w:val="99"/>
    <w:semiHidden/>
    <w:rsid w:val="00FE70CA"/>
    <w:rPr>
      <w:rFonts w:ascii="Tahoma" w:hAnsi="Tahoma" w:cs="Tahoma"/>
      <w:noProof/>
      <w:sz w:val="16"/>
      <w:szCs w:val="16"/>
    </w:rPr>
  </w:style>
  <w:style w:type="character" w:styleId="Textedelespacerserv">
    <w:name w:val="Placeholder Text"/>
    <w:uiPriority w:val="99"/>
    <w:semiHidden/>
    <w:rsid w:val="00FE70CA"/>
    <w:rPr>
      <w:color w:val="808080"/>
    </w:rPr>
  </w:style>
  <w:style w:type="paragraph" w:styleId="Textedemacro">
    <w:name w:val="macro"/>
    <w:link w:val="TextedemacroCar"/>
    <w:uiPriority w:val="99"/>
    <w:semiHidden/>
    <w:unhideWhenUsed/>
    <w:rsid w:val="00FE70CA"/>
    <w:pPr>
      <w:tabs>
        <w:tab w:val="left" w:pos="480"/>
        <w:tab w:val="left" w:pos="960"/>
        <w:tab w:val="left" w:pos="1440"/>
        <w:tab w:val="left" w:pos="1920"/>
        <w:tab w:val="left" w:pos="2400"/>
        <w:tab w:val="left" w:pos="2880"/>
        <w:tab w:val="left" w:pos="3360"/>
        <w:tab w:val="left" w:pos="3840"/>
        <w:tab w:val="left" w:pos="4320"/>
      </w:tabs>
      <w:spacing w:after="60"/>
      <w:ind w:left="708"/>
      <w:jc w:val="both"/>
    </w:pPr>
    <w:rPr>
      <w:rFonts w:ascii="Courier New" w:hAnsi="Courier New" w:cs="Courier New"/>
      <w:noProof/>
    </w:rPr>
  </w:style>
  <w:style w:type="character" w:customStyle="1" w:styleId="TextedemacroCar">
    <w:name w:val="Texte de macro Car"/>
    <w:link w:val="Textedemacro"/>
    <w:uiPriority w:val="99"/>
    <w:semiHidden/>
    <w:rsid w:val="00FE70CA"/>
    <w:rPr>
      <w:rFonts w:ascii="Courier New" w:hAnsi="Courier New" w:cs="Courier New"/>
      <w:noProof/>
    </w:rPr>
  </w:style>
  <w:style w:type="table" w:styleId="Thmedutableau">
    <w:name w:val="Table Theme"/>
    <w:basedOn w:val="TableauNormal"/>
    <w:uiPriority w:val="99"/>
    <w:semiHidden/>
    <w:unhideWhenUsed/>
    <w:rsid w:val="00FE70CA"/>
    <w:pPr>
      <w:tabs>
        <w:tab w:val="left" w:pos="1134"/>
      </w:tabs>
      <w:spacing w:after="60"/>
      <w:ind w:left="708"/>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FE70CA"/>
  </w:style>
  <w:style w:type="character" w:customStyle="1" w:styleId="TitredenoteCar">
    <w:name w:val="Titre de note Car"/>
    <w:link w:val="Titredenote"/>
    <w:uiPriority w:val="99"/>
    <w:semiHidden/>
    <w:rsid w:val="00FE70CA"/>
    <w:rPr>
      <w:rFonts w:ascii="Tw Cen MT" w:hAnsi="Tw Cen MT"/>
      <w:noProof/>
    </w:rPr>
  </w:style>
  <w:style w:type="character" w:styleId="Titredulivre">
    <w:name w:val="Book Title"/>
    <w:uiPriority w:val="33"/>
    <w:qFormat/>
    <w:rsid w:val="00FE70CA"/>
    <w:rPr>
      <w:b/>
      <w:bCs/>
      <w:smallCaps/>
      <w:spacing w:val="5"/>
    </w:rPr>
  </w:style>
  <w:style w:type="paragraph" w:styleId="Titreindex">
    <w:name w:val="index heading"/>
    <w:basedOn w:val="Normal"/>
    <w:next w:val="Index1"/>
    <w:uiPriority w:val="99"/>
    <w:semiHidden/>
    <w:unhideWhenUsed/>
    <w:rsid w:val="00FE70CA"/>
    <w:rPr>
      <w:rFonts w:ascii="Cambria" w:hAnsi="Cambria"/>
      <w:b/>
      <w:bCs/>
    </w:rPr>
  </w:style>
  <w:style w:type="paragraph" w:styleId="TitreTR">
    <w:name w:val="toa heading"/>
    <w:basedOn w:val="Normal"/>
    <w:next w:val="Normal"/>
    <w:uiPriority w:val="99"/>
    <w:semiHidden/>
    <w:unhideWhenUsed/>
    <w:rsid w:val="00FE70CA"/>
    <w:pPr>
      <w:spacing w:before="120"/>
    </w:pPr>
    <w:rPr>
      <w:rFonts w:ascii="Cambria" w:hAnsi="Cambria"/>
      <w:b/>
      <w:bCs/>
      <w:sz w:val="24"/>
      <w:szCs w:val="24"/>
    </w:rPr>
  </w:style>
  <w:style w:type="paragraph" w:styleId="TM9">
    <w:name w:val="toc 9"/>
    <w:basedOn w:val="Normal"/>
    <w:next w:val="Normal"/>
    <w:uiPriority w:val="39"/>
    <w:semiHidden/>
    <w:unhideWhenUsed/>
    <w:rsid w:val="00FE70CA"/>
    <w:pPr>
      <w:tabs>
        <w:tab w:val="clear" w:pos="1134"/>
      </w:tabs>
      <w:ind w:left="1600"/>
    </w:pPr>
  </w:style>
  <w:style w:type="table" w:styleId="Trameclaire-Accent1">
    <w:name w:val="Light Shading Accent 1"/>
    <w:basedOn w:val="TableauNormal"/>
    <w:uiPriority w:val="60"/>
    <w:rsid w:val="00FE70C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E70CA"/>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E70CA"/>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E70CA"/>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E70CA"/>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E70CA"/>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E70CA"/>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E70C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E70CA"/>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E70CA"/>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E70CA"/>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E70CA"/>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E70CA"/>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E70C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E70C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E70C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E70C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E70C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E70C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E70C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E70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E70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E70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E70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E70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E70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E70C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FE70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14072</Words>
  <Characters>77398</Characters>
  <Application>Microsoft Office Word</Application>
  <DocSecurity>0</DocSecurity>
  <Lines>644</Lines>
  <Paragraphs>182</Paragraphs>
  <ScaleCrop>false</ScaleCrop>
  <HeadingPairs>
    <vt:vector size="2" baseType="variant">
      <vt:variant>
        <vt:lpstr>Titre</vt:lpstr>
      </vt:variant>
      <vt:variant>
        <vt:i4>1</vt:i4>
      </vt:variant>
    </vt:vector>
  </HeadingPairs>
  <TitlesOfParts>
    <vt:vector size="1" baseType="lpstr">
      <vt:lpstr>GUIDE PRATIQUE DES CONTRATS DE RECHERCHE</vt:lpstr>
    </vt:vector>
  </TitlesOfParts>
  <Company>SUNNIKAN Consulting</Company>
  <LinksUpToDate>false</LinksUpToDate>
  <CharactersWithSpaces>91288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PRATIQUE DES CONTRATS DE RECHERCHE</dc:title>
  <dc:subject/>
  <dc:creator>THOMA NAJETTE </dc:creator>
  <cp:keywords/>
  <dc:description/>
  <cp:lastModifiedBy>Pierre JOUBERT</cp:lastModifiedBy>
  <cp:revision>2</cp:revision>
  <dcterms:created xsi:type="dcterms:W3CDTF">2012-08-30T09:39:00Z</dcterms:created>
  <dcterms:modified xsi:type="dcterms:W3CDTF">2012-08-30T09:39:00Z</dcterms:modified>
</cp:coreProperties>
</file>