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55767">
      <w:pPr>
        <w:pBdr>
          <w:bottom w:val="single" w:sz="36" w:space="1" w:color="336699"/>
        </w:pBdr>
        <w:jc w:val="both"/>
        <w:rPr>
          <w:rFonts w:ascii="Verdana" w:hAnsi="Verdana" w:cs="Arial"/>
          <w:b/>
          <w:bCs/>
          <w:sz w:val="28"/>
          <w:szCs w:val="28"/>
        </w:rPr>
      </w:pPr>
      <w:bookmarkStart w:id="0" w:name="_GoBack"/>
      <w:bookmarkEnd w:id="0"/>
      <w:r>
        <w:rPr>
          <w:rFonts w:ascii="Verdana" w:hAnsi="Verdana" w:cs="Arial"/>
          <w:b/>
          <w:bCs/>
          <w:sz w:val="28"/>
          <w:szCs w:val="28"/>
        </w:rPr>
        <w:t xml:space="preserve">Malek Meloulli                                                                           </w:t>
      </w:r>
    </w:p>
    <w:p w:rsidR="00000000" w:rsidRDefault="00655767">
      <w:pPr>
        <w:pStyle w:val="Titre1"/>
        <w:rPr>
          <w:rFonts w:ascii="Verdana" w:hAnsi="Verdana"/>
          <w:b w:val="0"/>
          <w:bCs w:val="0"/>
        </w:rPr>
      </w:pPr>
      <w:r>
        <w:rPr>
          <w:rFonts w:ascii="Verdana" w:hAnsi="Verdana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5715000</wp:posOffset>
            </wp:positionH>
            <wp:positionV relativeFrom="paragraph">
              <wp:posOffset>57150</wp:posOffset>
            </wp:positionV>
            <wp:extent cx="866775" cy="1123950"/>
            <wp:effectExtent l="0" t="0" r="0" b="0"/>
            <wp:wrapNone/>
            <wp:docPr id="6" name="Image 6" descr="IMG_0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05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</w:rPr>
        <w:t>Interne en Pharmacie Industrielle et Biomédicale</w:t>
      </w:r>
    </w:p>
    <w:p w:rsidR="00000000" w:rsidRDefault="0065576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28 ans </w:t>
      </w:r>
    </w:p>
    <w:p w:rsidR="00000000" w:rsidRDefault="00655767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Adresse: 29 rue Albert 75013 Paris.                                                                         </w:t>
      </w:r>
      <w:r>
        <w:rPr>
          <w:rFonts w:ascii="Verdana" w:hAnsi="Verdana" w:cs="Arial"/>
          <w:sz w:val="20"/>
          <w:szCs w:val="20"/>
        </w:rPr>
        <w:t xml:space="preserve">                    </w:t>
      </w:r>
    </w:p>
    <w:p w:rsidR="00000000" w:rsidRDefault="00655767">
      <w:pPr>
        <w:spacing w:line="360" w:lineRule="auto"/>
        <w:jc w:val="both"/>
        <w:rPr>
          <w:rFonts w:ascii="Verdana" w:hAnsi="Verdana" w:cs="Arial"/>
          <w:b/>
          <w:color w:val="292929"/>
          <w:sz w:val="20"/>
          <w:szCs w:val="20"/>
          <w:lang w:val="de-DE"/>
        </w:rPr>
      </w:pPr>
      <w:r>
        <w:rPr>
          <w:rFonts w:ascii="Verdana" w:hAnsi="Verdana" w:cs="Arial"/>
          <w:b/>
          <w:color w:val="292929"/>
          <w:sz w:val="20"/>
          <w:szCs w:val="20"/>
          <w:lang w:val="de-DE"/>
        </w:rPr>
        <w:t>E-mail : melloulimalek@gmail.com</w:t>
      </w:r>
    </w:p>
    <w:p w:rsidR="00000000" w:rsidRDefault="00655767">
      <w:pPr>
        <w:spacing w:after="120" w:line="360" w:lineRule="auto"/>
        <w:jc w:val="both"/>
        <w:rPr>
          <w:rFonts w:ascii="Verdana" w:hAnsi="Verdana" w:cs="Arial"/>
          <w:b/>
          <w:color w:val="292929"/>
          <w:sz w:val="20"/>
          <w:szCs w:val="20"/>
        </w:rPr>
      </w:pPr>
      <w:r>
        <w:rPr>
          <w:rFonts w:ascii="Verdana" w:hAnsi="Verdana" w:cs="Arial"/>
          <w:b/>
          <w:color w:val="292929"/>
          <w:sz w:val="20"/>
          <w:szCs w:val="20"/>
        </w:rPr>
        <w:t>Tel : 06 58 47 71 70</w:t>
      </w:r>
    </w:p>
    <w:p w:rsidR="00000000" w:rsidRDefault="00655767">
      <w:pPr>
        <w:pBdr>
          <w:top w:val="single" w:sz="24" w:space="0" w:color="336699"/>
          <w:bottom w:val="dotted" w:sz="2" w:space="1" w:color="auto"/>
        </w:pBdr>
        <w:jc w:val="both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Expérience professionnelle</w:t>
      </w:r>
    </w:p>
    <w:p w:rsidR="00000000" w:rsidRDefault="00655767">
      <w:pPr>
        <w:spacing w:before="10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Service de Pharmacie, CH Victor Dupouy. Argenteuil. France                        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11/2010 – 09/2011</w:t>
      </w:r>
    </w:p>
    <w:p w:rsidR="00000000" w:rsidRDefault="00655767">
      <w:pPr>
        <w:pStyle w:val="Corpsdetexte2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Gestion et dispensation des traitements expérimentaux</w:t>
      </w:r>
      <w:r>
        <w:rPr>
          <w:rFonts w:ascii="Verdana" w:hAnsi="Verdana"/>
          <w:sz w:val="18"/>
        </w:rPr>
        <w:t xml:space="preserve"> dans les essais cliniques. </w:t>
      </w:r>
    </w:p>
    <w:p w:rsidR="00000000" w:rsidRDefault="00655767">
      <w:pPr>
        <w:spacing w:before="4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i/>
          <w:sz w:val="18"/>
          <w:szCs w:val="20"/>
        </w:rPr>
        <w:t>Rétrocession des traitements pour les patients ambulatoires. Participation aux commissions techniques d’achats des médicaments du groupement d’achat régional RESAH île de France.</w:t>
      </w:r>
    </w:p>
    <w:p w:rsidR="00000000" w:rsidRPr="00655767" w:rsidRDefault="00655767">
      <w:pPr>
        <w:spacing w:before="100"/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Arial"/>
          <w:b/>
          <w:bCs/>
          <w:sz w:val="20"/>
          <w:szCs w:val="20"/>
        </w:rPr>
        <w:t>Service de Pharmacie, CH Louis Mourier. Colombes</w:t>
      </w:r>
      <w:r>
        <w:rPr>
          <w:rFonts w:ascii="Verdana" w:hAnsi="Verdana" w:cs="Arial"/>
          <w:b/>
          <w:bCs/>
          <w:sz w:val="20"/>
          <w:szCs w:val="20"/>
        </w:rPr>
        <w:t xml:space="preserve">. France       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05/2010 – 11/2010</w:t>
      </w:r>
    </w:p>
    <w:p w:rsidR="00000000" w:rsidRDefault="00655767">
      <w:pPr>
        <w:spacing w:before="40"/>
        <w:rPr>
          <w:rFonts w:ascii="Verdana" w:hAnsi="Verdana" w:cs="Arial"/>
          <w:i/>
          <w:sz w:val="18"/>
          <w:szCs w:val="20"/>
        </w:rPr>
      </w:pPr>
      <w:r>
        <w:rPr>
          <w:rFonts w:ascii="Verdana" w:hAnsi="Verdana" w:cs="Arial"/>
          <w:i/>
          <w:sz w:val="18"/>
          <w:szCs w:val="20"/>
        </w:rPr>
        <w:t>Nutrition parentérale: validation des prescriptions et contrôle des poches de nutritions parentérales.</w:t>
      </w:r>
    </w:p>
    <w:p w:rsidR="00000000" w:rsidRDefault="00655767">
      <w:pPr>
        <w:rPr>
          <w:rFonts w:ascii="Verdana" w:hAnsi="Verdana"/>
          <w:bCs/>
        </w:rPr>
      </w:pPr>
      <w:r>
        <w:rPr>
          <w:rFonts w:ascii="Verdana" w:hAnsi="Verdana" w:cs="Arial"/>
          <w:i/>
          <w:sz w:val="18"/>
          <w:szCs w:val="20"/>
        </w:rPr>
        <w:t>Toxicologie, préparations stériles sous hôte, contrôle des préparations magistrales.</w:t>
      </w:r>
    </w:p>
    <w:p w:rsidR="00000000" w:rsidRPr="00655767" w:rsidRDefault="00655767">
      <w:pPr>
        <w:spacing w:before="100"/>
        <w:rPr>
          <w:rFonts w:ascii="Verdana" w:hAnsi="Verdana" w:cs="Arial"/>
          <w:b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Arial"/>
          <w:b/>
          <w:bCs/>
          <w:sz w:val="20"/>
          <w:szCs w:val="20"/>
        </w:rPr>
        <w:t>Recherche et Développem</w:t>
      </w:r>
      <w:r>
        <w:rPr>
          <w:rFonts w:ascii="Verdana" w:hAnsi="Verdana" w:cs="Arial"/>
          <w:b/>
          <w:bCs/>
          <w:sz w:val="20"/>
          <w:szCs w:val="20"/>
        </w:rPr>
        <w:t xml:space="preserve">ent Galénique. AGEPS. Paris V. France </w:t>
      </w:r>
      <w:r w:rsidRPr="00655767">
        <w:rPr>
          <w:rFonts w:ascii="Verdana" w:hAnsi="Verdana" w:cs="Arial"/>
          <w:b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11/2009 – 05/2010</w:t>
      </w:r>
    </w:p>
    <w:p w:rsidR="00000000" w:rsidRDefault="00655767">
      <w:pPr>
        <w:spacing w:before="40"/>
        <w:rPr>
          <w:rFonts w:ascii="Verdana" w:hAnsi="Verdana" w:cs="Arial"/>
          <w:bCs/>
          <w:i/>
          <w:sz w:val="20"/>
          <w:szCs w:val="20"/>
        </w:rPr>
      </w:pPr>
      <w:r>
        <w:rPr>
          <w:rFonts w:ascii="Verdana" w:hAnsi="Verdana" w:cs="Arial"/>
          <w:i/>
          <w:sz w:val="18"/>
          <w:szCs w:val="20"/>
        </w:rPr>
        <w:t>Développement de comprimés dispersibles pédiatriques : Formulations et  étude  des paramètres de la compression sur machine à comprimer alternative et instrumentée, essais pharmacotec</w:t>
      </w:r>
      <w:r>
        <w:rPr>
          <w:rFonts w:ascii="Verdana" w:hAnsi="Verdana" w:cs="Arial"/>
          <w:i/>
          <w:sz w:val="18"/>
          <w:szCs w:val="20"/>
        </w:rPr>
        <w:t>hniques sur les mélanges de poudres et les  comprimés. Communication affichée, ApGI octobre 2010 Aix-en-Provence</w:t>
      </w:r>
      <w:r>
        <w:rPr>
          <w:rFonts w:ascii="Verdana" w:hAnsi="Verdana" w:cs="Arial"/>
          <w:i/>
          <w:sz w:val="20"/>
          <w:szCs w:val="20"/>
        </w:rPr>
        <w:t xml:space="preserve"> France.</w:t>
      </w:r>
    </w:p>
    <w:p w:rsidR="00000000" w:rsidRPr="00655767" w:rsidRDefault="00655767">
      <w:pPr>
        <w:spacing w:before="100"/>
        <w:rPr>
          <w:rFonts w:ascii="Verdana" w:hAnsi="Verdana" w:cs="Arial"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Contrôle Qualité. Sanofi-Aventis. Mégrine. Tunisie                                        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03/2009 – 09/2009</w:t>
      </w:r>
    </w:p>
    <w:p w:rsidR="00000000" w:rsidRDefault="00655767">
      <w:pPr>
        <w:pStyle w:val="Corpsdetexte3"/>
      </w:pPr>
      <w:r>
        <w:t xml:space="preserve">Essais pharmacotechniques </w:t>
      </w:r>
      <w:r>
        <w:t>sur les formes sèches, réactualisation et rédaction des procédures de travail  analytique, validations nettoyage.</w:t>
      </w:r>
    </w:p>
    <w:p w:rsidR="00000000" w:rsidRDefault="00655767">
      <w:pPr>
        <w:tabs>
          <w:tab w:val="left" w:pos="3555"/>
        </w:tabs>
        <w:spacing w:before="10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Assurance Qualité. Sanofi-Aventis. Mégrine. Tunisie</w:t>
      </w:r>
      <w:r w:rsidRPr="00655767">
        <w:rPr>
          <w:rFonts w:ascii="Verdana" w:hAnsi="Verdana" w:cs="Arial"/>
          <w:b/>
          <w:bCs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55767">
        <w:rPr>
          <w:rFonts w:ascii="Verdana" w:hAnsi="Verdana" w:cs="Arial"/>
          <w:b/>
          <w:bCs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                     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09/2008 – 03/2009</w:t>
      </w:r>
    </w:p>
    <w:p w:rsidR="00000000" w:rsidRDefault="00655767">
      <w:pPr>
        <w:pStyle w:val="Corpsdetexte3"/>
      </w:pPr>
      <w:r>
        <w:t>Validations des procédures de fabrication</w:t>
      </w:r>
      <w:r>
        <w:t>s de formes sèches, validations transport de matières premières, qualifications de matériel (qualification d’installation, qualification opérationnelle d'une machine de pelliculage).</w:t>
      </w:r>
    </w:p>
    <w:p w:rsidR="00000000" w:rsidRDefault="00655767">
      <w:pPr>
        <w:spacing w:before="100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Service de pharmacie, CHU Habib Bourguiba. Sfax. Tunisie</w:t>
      </w:r>
      <w:r w:rsidRPr="00655767">
        <w:rPr>
          <w:rFonts w:ascii="Verdana" w:hAnsi="Verdana" w:cs="Arial"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</w:t>
      </w:r>
      <w:r w:rsidRPr="00655767">
        <w:rPr>
          <w:rFonts w:ascii="Verdana" w:hAnsi="Verdana" w:cs="Arial"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       </w:t>
      </w:r>
      <w:r w:rsidRPr="00655767">
        <w:rPr>
          <w:rFonts w:ascii="Verdana" w:hAnsi="Verdana" w:cs="Arial"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05/2008 – 09/2008</w:t>
      </w:r>
    </w:p>
    <w:p w:rsidR="00000000" w:rsidRDefault="00655767">
      <w:pPr>
        <w:pStyle w:val="Corpsdetexte2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Validation des ordonnances, réalisation d’une enquête sur l’évolution de la consommation des antibiotiques au sein de l’hôpital sur une période de 17 mois. Communication orale, ATPH Novembre 2009 Tunis Tunisie.</w:t>
      </w:r>
    </w:p>
    <w:p w:rsidR="00000000" w:rsidRPr="00655767" w:rsidRDefault="00655767">
      <w:pPr>
        <w:spacing w:before="100"/>
        <w:rPr>
          <w:rFonts w:ascii="Verdana" w:hAnsi="Verdana" w:cs="Arial"/>
          <w:b/>
          <w:bCs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Verdana" w:hAnsi="Verdana" w:cs="Arial"/>
          <w:b/>
          <w:bCs/>
          <w:sz w:val="20"/>
          <w:szCs w:val="20"/>
        </w:rPr>
        <w:t>Pharmacien assistant offic</w:t>
      </w:r>
      <w:r>
        <w:rPr>
          <w:rFonts w:ascii="Verdana" w:hAnsi="Verdana" w:cs="Arial"/>
          <w:b/>
          <w:bCs/>
          <w:sz w:val="20"/>
          <w:szCs w:val="20"/>
        </w:rPr>
        <w:t xml:space="preserve">inal Sfax. Tunisie </w:t>
      </w:r>
      <w:r w:rsidRPr="00655767">
        <w:rPr>
          <w:rFonts w:ascii="Verdana" w:hAnsi="Verdana" w:cs="Arial"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                                                  </w:t>
      </w:r>
      <w:r w:rsidRPr="00655767">
        <w:rPr>
          <w:rFonts w:ascii="Verdana" w:hAnsi="Verdana" w:cs="Arial"/>
          <w:color w:val="80808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09</w:t>
      </w:r>
      <w:r w:rsidRPr="00655767">
        <w:rPr>
          <w:rFonts w:ascii="Verdana" w:hAnsi="Verdana" w:cs="Arial"/>
          <w:color w:val="4D4D4D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Pr="00655767">
        <w:rPr>
          <w:rFonts w:ascii="Verdana" w:hAnsi="Verdana" w:cs="Arial"/>
          <w:color w:val="7F7F7F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2006 –08/2007</w:t>
      </w:r>
    </w:p>
    <w:p w:rsidR="00000000" w:rsidRDefault="00655767">
      <w:pPr>
        <w:pStyle w:val="Corpsdetexte3"/>
        <w:spacing w:after="120"/>
      </w:pPr>
      <w:r>
        <w:t>Dispensations de médicaments, conseils aux patients, gestion du stock, gestion de l’équipe de préparateurs.</w:t>
      </w:r>
    </w:p>
    <w:p w:rsidR="00000000" w:rsidRDefault="00655767">
      <w:pPr>
        <w:pBdr>
          <w:top w:val="single" w:sz="24" w:space="1" w:color="336699"/>
          <w:bottom w:val="dotted" w:sz="2" w:space="1" w:color="auto"/>
        </w:pBdr>
        <w:jc w:val="both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Formations</w:t>
      </w:r>
    </w:p>
    <w:tbl>
      <w:tblPr>
        <w:tblW w:w="10080" w:type="dxa"/>
        <w:tblInd w:w="70" w:type="dxa"/>
        <w:tblBorders>
          <w:top w:val="single" w:sz="18" w:space="0" w:color="336699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2160"/>
        <w:gridCol w:w="3060"/>
        <w:gridCol w:w="306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il"/>
              <w:left w:val="nil"/>
              <w:bottom w:val="single" w:sz="18" w:space="0" w:color="336699"/>
              <w:right w:val="single" w:sz="18" w:space="0" w:color="336699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Période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single" w:sz="18" w:space="0" w:color="336699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en-GB"/>
              </w:rPr>
              <w:t>Faculté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18" w:space="0" w:color="336699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en-GB"/>
              </w:rPr>
              <w:t>D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iplôme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18" w:space="0" w:color="336699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655767">
              <w:rPr>
                <w:rFonts w:ascii="Verdana" w:hAnsi="Verdana" w:cs="Arial"/>
                <w:b/>
                <w:bCs/>
                <w:color w:val="4D4D4D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Unité d’enseignement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18" w:space="0" w:color="336699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</w:t>
            </w: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0-2011 </w:t>
            </w:r>
          </w:p>
        </w:tc>
        <w:tc>
          <w:tcPr>
            <w:tcW w:w="2160" w:type="dxa"/>
            <w:tcBorders>
              <w:top w:val="single" w:sz="18" w:space="0" w:color="336699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Faculté de Pharmacie  Paris Descartes</w:t>
            </w:r>
          </w:p>
        </w:tc>
        <w:tc>
          <w:tcPr>
            <w:tcW w:w="3060" w:type="dxa"/>
            <w:tcBorders>
              <w:top w:val="single" w:sz="18" w:space="0" w:color="336699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ind w:left="290"/>
              <w:rPr>
                <w:rFonts w:ascii="Verdana" w:hAnsi="Verdana" w:cs="Arial"/>
                <w:b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Attestation de formation spécialisée. Pharmacie Industrielle et Biomédicale</w:t>
            </w:r>
          </w:p>
        </w:tc>
        <w:tc>
          <w:tcPr>
            <w:tcW w:w="3060" w:type="dxa"/>
            <w:tcBorders>
              <w:top w:val="single" w:sz="18" w:space="0" w:color="336699"/>
              <w:left w:val="nil"/>
              <w:bottom w:val="nil"/>
              <w:right w:val="nil"/>
            </w:tcBorders>
          </w:tcPr>
          <w:p w:rsidR="00000000" w:rsidRDefault="00655767">
            <w:pPr>
              <w:numPr>
                <w:ilvl w:val="0"/>
                <w:numId w:val="3"/>
              </w:numPr>
              <w:spacing w:before="40"/>
              <w:ind w:right="22"/>
              <w:rPr>
                <w:rFonts w:ascii="Verdana" w:hAnsi="Verdana" w:cs="Arial"/>
                <w:b/>
                <w:sz w:val="16"/>
                <w:szCs w:val="20"/>
              </w:rPr>
            </w:pPr>
            <w:r>
              <w:rPr>
                <w:rFonts w:ascii="Verdana" w:hAnsi="Verdana"/>
                <w:sz w:val="16"/>
              </w:rPr>
              <w:t>Recherche biomédicales sur les produits de santé: aspects réglementaire, méthodologiques et organisationnel.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il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2010-2011 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sz w:val="16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rPr>
                <w:rFonts w:ascii="Verdana" w:hAnsi="Verdana" w:cs="Arial"/>
                <w:b/>
                <w:sz w:val="16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numPr>
                <w:ilvl w:val="0"/>
                <w:numId w:val="3"/>
              </w:numPr>
              <w:spacing w:before="40"/>
              <w:rPr>
                <w:rFonts w:ascii="Verdana" w:hAnsi="Verdana" w:cs="Arial"/>
                <w:bCs/>
                <w:sz w:val="16"/>
                <w:szCs w:val="20"/>
              </w:rPr>
            </w:pPr>
            <w:r>
              <w:rPr>
                <w:rFonts w:ascii="Verdana" w:hAnsi="Verdana" w:cs="Arial"/>
                <w:bCs/>
                <w:sz w:val="16"/>
                <w:szCs w:val="20"/>
              </w:rPr>
              <w:t>Assurance q</w:t>
            </w:r>
            <w:r>
              <w:rPr>
                <w:rFonts w:ascii="Verdana" w:hAnsi="Verdana" w:cs="Arial"/>
                <w:bCs/>
                <w:sz w:val="16"/>
                <w:szCs w:val="20"/>
              </w:rPr>
              <w:t>ualité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il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2009-2010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b/>
                <w:sz w:val="16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rPr>
                <w:rFonts w:ascii="Verdana" w:hAnsi="Verdana" w:cs="Arial"/>
                <w:b/>
                <w:sz w:val="16"/>
                <w:szCs w:val="20"/>
                <w:lang w:val="en-GB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numPr>
                <w:ilvl w:val="0"/>
                <w:numId w:val="3"/>
              </w:numPr>
              <w:spacing w:before="40"/>
              <w:jc w:val="both"/>
              <w:rPr>
                <w:rFonts w:ascii="Verdana" w:hAnsi="Verdana" w:cs="Arial"/>
                <w:b/>
                <w:sz w:val="16"/>
                <w:szCs w:val="20"/>
                <w:lang w:val="en-GB"/>
              </w:rPr>
            </w:pPr>
            <w:r>
              <w:rPr>
                <w:rFonts w:ascii="Verdana" w:hAnsi="Verdana" w:cs="Arial"/>
                <w:sz w:val="16"/>
                <w:szCs w:val="20"/>
                <w:lang w:val="en-GB"/>
              </w:rPr>
              <w:t>Pharmacie clinique 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il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2008-2009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Faculté de pharmacie de Monastir. Tunisie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ind w:left="290"/>
              <w:rPr>
                <w:rFonts w:ascii="Verdana" w:hAnsi="Verdana" w:cs="Arial"/>
                <w:b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Spécialité en Pharmacie Hospitalière et Industrielle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numPr>
                <w:ilvl w:val="0"/>
                <w:numId w:val="3"/>
              </w:numPr>
              <w:spacing w:before="40"/>
              <w:jc w:val="both"/>
              <w:rPr>
                <w:rFonts w:ascii="Verdana" w:hAnsi="Verdana" w:cs="Arial"/>
                <w:b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 xml:space="preserve">Développement galénique des médicaments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nil"/>
              <w:left w:val="nil"/>
              <w:bottom w:val="single" w:sz="18" w:space="0" w:color="336699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2008-2009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single" w:sz="18" w:space="0" w:color="336699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sz w:val="16"/>
                <w:szCs w:val="2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18" w:space="0" w:color="336699"/>
              <w:right w:val="nil"/>
            </w:tcBorders>
          </w:tcPr>
          <w:p w:rsidR="00000000" w:rsidRDefault="00655767">
            <w:pPr>
              <w:spacing w:before="40"/>
              <w:rPr>
                <w:rFonts w:ascii="Verdana" w:hAnsi="Verdana" w:cs="Arial"/>
                <w:b/>
                <w:sz w:val="16"/>
                <w:szCs w:val="2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18" w:space="0" w:color="336699"/>
              <w:right w:val="nil"/>
            </w:tcBorders>
          </w:tcPr>
          <w:p w:rsidR="00000000" w:rsidRDefault="00655767">
            <w:pPr>
              <w:numPr>
                <w:ilvl w:val="0"/>
                <w:numId w:val="3"/>
              </w:numPr>
              <w:spacing w:before="40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Développement analytique des médicaments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single" w:sz="18" w:space="0" w:color="336699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2007</w:t>
            </w:r>
          </w:p>
        </w:tc>
        <w:tc>
          <w:tcPr>
            <w:tcW w:w="2160" w:type="dxa"/>
            <w:tcBorders>
              <w:top w:val="single" w:sz="18" w:space="0" w:color="336699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 xml:space="preserve">Faculté </w:t>
            </w:r>
            <w:r>
              <w:rPr>
                <w:rFonts w:ascii="Verdana" w:hAnsi="Verdana" w:cs="Arial"/>
                <w:sz w:val="16"/>
                <w:szCs w:val="20"/>
              </w:rPr>
              <w:t>de pharmacie de Monastir. Tunisie</w:t>
            </w:r>
          </w:p>
        </w:tc>
        <w:tc>
          <w:tcPr>
            <w:tcW w:w="6120" w:type="dxa"/>
            <w:gridSpan w:val="2"/>
            <w:tcBorders>
              <w:top w:val="single" w:sz="18" w:space="0" w:color="336699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ind w:left="36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bCs/>
                <w:sz w:val="16"/>
                <w:szCs w:val="20"/>
              </w:rPr>
              <w:t>Admission au concours national d’internat en pharmacie.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nil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2006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Faculté de pharmacie de Monastir. Tunisie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ind w:left="36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bCs/>
                <w:sz w:val="16"/>
                <w:szCs w:val="20"/>
              </w:rPr>
              <w:t>Mémoire de fin d’études: Radicaux libres et anti-oxydants radicalaire Mention très bien.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Borders>
              <w:top w:val="nil"/>
              <w:left w:val="nil"/>
              <w:bottom w:val="nil"/>
              <w:right w:val="single" w:sz="18" w:space="0" w:color="336699"/>
            </w:tcBorders>
          </w:tcPr>
          <w:p w:rsidR="00000000" w:rsidRPr="00655767" w:rsidRDefault="00655767">
            <w:pPr>
              <w:spacing w:before="40"/>
              <w:jc w:val="both"/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55767">
              <w:rPr>
                <w:rFonts w:ascii="Verdana" w:hAnsi="Verdana" w:cs="Arial"/>
                <w:bCs/>
                <w:color w:val="808080"/>
                <w:sz w:val="20"/>
                <w:szCs w:val="2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2001</w:t>
            </w:r>
          </w:p>
        </w:tc>
        <w:tc>
          <w:tcPr>
            <w:tcW w:w="2160" w:type="dxa"/>
            <w:tcBorders>
              <w:top w:val="nil"/>
              <w:left w:val="single" w:sz="18" w:space="0" w:color="336699"/>
              <w:bottom w:val="nil"/>
              <w:right w:val="nil"/>
            </w:tcBorders>
          </w:tcPr>
          <w:p w:rsidR="00000000" w:rsidRDefault="00655767">
            <w:pPr>
              <w:spacing w:before="4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sz w:val="16"/>
                <w:szCs w:val="20"/>
              </w:rPr>
              <w:t>Lycée 15 novembre Sfax.</w:t>
            </w:r>
            <w:r>
              <w:rPr>
                <w:rFonts w:ascii="Verdana" w:hAnsi="Verdana" w:cs="Arial"/>
                <w:sz w:val="16"/>
                <w:szCs w:val="20"/>
              </w:rPr>
              <w:t xml:space="preserve"> Tunisie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655767">
            <w:pPr>
              <w:spacing w:before="40"/>
              <w:ind w:left="360"/>
              <w:jc w:val="both"/>
              <w:rPr>
                <w:rFonts w:ascii="Verdana" w:hAnsi="Verdana" w:cs="Arial"/>
                <w:sz w:val="16"/>
                <w:szCs w:val="20"/>
              </w:rPr>
            </w:pPr>
            <w:r>
              <w:rPr>
                <w:rFonts w:ascii="Verdana" w:hAnsi="Verdana" w:cs="Arial"/>
                <w:bCs/>
                <w:sz w:val="16"/>
                <w:szCs w:val="20"/>
              </w:rPr>
              <w:t>Baccalauréat section sciences expérimentales. Mention Bien</w:t>
            </w:r>
          </w:p>
        </w:tc>
      </w:tr>
    </w:tbl>
    <w:p w:rsidR="00000000" w:rsidRDefault="00655767">
      <w:pPr>
        <w:jc w:val="both"/>
        <w:rPr>
          <w:rFonts w:ascii="Verdana" w:hAnsi="Verdana" w:cs="Arial"/>
          <w:sz w:val="20"/>
          <w:szCs w:val="20"/>
        </w:rPr>
      </w:pPr>
    </w:p>
    <w:p w:rsidR="00000000" w:rsidRDefault="00655767">
      <w:pPr>
        <w:pBdr>
          <w:top w:val="single" w:sz="24" w:space="1" w:color="336699"/>
        </w:pBdr>
        <w:spacing w:after="60"/>
        <w:jc w:val="both"/>
        <w:rPr>
          <w:rFonts w:ascii="Verdana" w:hAnsi="Verdana" w:cs="Arial"/>
          <w:i/>
          <w:iCs/>
        </w:rPr>
      </w:pPr>
      <w:r>
        <w:rPr>
          <w:rFonts w:ascii="Verdana" w:hAnsi="Verdana" w:cs="Arial"/>
          <w:b/>
          <w:bCs/>
        </w:rPr>
        <w:t>Langues</w:t>
      </w:r>
      <w:r>
        <w:rPr>
          <w:rFonts w:ascii="Verdana" w:hAnsi="Verdana" w:cs="Arial"/>
          <w:b/>
          <w:bCs/>
          <w:sz w:val="28"/>
          <w:szCs w:val="28"/>
        </w:rPr>
        <w:t xml:space="preserve"> : </w:t>
      </w:r>
      <w:r>
        <w:rPr>
          <w:rFonts w:ascii="Verdana" w:hAnsi="Verdana" w:cs="Arial"/>
          <w:i/>
          <w:iCs/>
          <w:sz w:val="18"/>
          <w:szCs w:val="20"/>
        </w:rPr>
        <w:t>français et arabe (couramment écrit et parlé), anglais (niveau  intermédiaire supérieur : écrit et parlé).</w:t>
      </w:r>
    </w:p>
    <w:p w:rsidR="00000000" w:rsidRDefault="00655767">
      <w:pPr>
        <w:pBdr>
          <w:top w:val="single" w:sz="24" w:space="6" w:color="336699"/>
        </w:pBdr>
        <w:spacing w:after="60"/>
        <w:rPr>
          <w:rFonts w:ascii="Verdana" w:hAnsi="Verdana" w:cs="Arial"/>
          <w:i/>
          <w:iCs/>
          <w:sz w:val="20"/>
          <w:szCs w:val="20"/>
        </w:rPr>
      </w:pPr>
      <w:r>
        <w:rPr>
          <w:rFonts w:ascii="Verdana" w:hAnsi="Verdana" w:cs="Arial"/>
          <w:b/>
          <w:bCs/>
        </w:rPr>
        <w:t>Informatique</w:t>
      </w:r>
      <w:r>
        <w:rPr>
          <w:rFonts w:ascii="Verdana" w:hAnsi="Verdana" w:cs="Arial"/>
          <w:b/>
          <w:bCs/>
          <w:sz w:val="28"/>
          <w:szCs w:val="28"/>
        </w:rPr>
        <w:t xml:space="preserve"> : </w:t>
      </w:r>
      <w:r>
        <w:rPr>
          <w:rFonts w:ascii="Verdana" w:hAnsi="Verdana" w:cs="Arial"/>
          <w:i/>
          <w:iCs/>
          <w:sz w:val="20"/>
          <w:szCs w:val="20"/>
        </w:rPr>
        <w:t>Microsoft :</w:t>
      </w:r>
      <w:r>
        <w:rPr>
          <w:rFonts w:ascii="Verdana" w:hAnsi="Verdana" w:cs="Arial"/>
          <w:b/>
          <w:bCs/>
          <w:i/>
          <w:iCs/>
          <w:sz w:val="20"/>
          <w:szCs w:val="20"/>
        </w:rPr>
        <w:t xml:space="preserve"> </w:t>
      </w:r>
      <w:r>
        <w:rPr>
          <w:rFonts w:ascii="Verdana" w:hAnsi="Verdana" w:cs="Arial"/>
          <w:i/>
          <w:iCs/>
          <w:sz w:val="20"/>
          <w:szCs w:val="20"/>
        </w:rPr>
        <w:t>word, excel, power point.</w:t>
      </w:r>
    </w:p>
    <w:p w:rsidR="00000000" w:rsidRDefault="00655767">
      <w:pPr>
        <w:pBdr>
          <w:top w:val="single" w:sz="24" w:space="1" w:color="336699"/>
        </w:pBdr>
        <w:spacing w:before="80"/>
        <w:jc w:val="both"/>
        <w:rPr>
          <w:rFonts w:ascii="Arial" w:hAnsi="Arial" w:cs="Arial"/>
          <w:sz w:val="20"/>
          <w:szCs w:val="20"/>
        </w:rPr>
      </w:pPr>
      <w:r>
        <w:rPr>
          <w:rFonts w:ascii="Verdana" w:hAnsi="Verdana" w:cs="Arial"/>
          <w:b/>
          <w:bCs/>
        </w:rPr>
        <w:t>Centres d’intérê</w:t>
      </w:r>
      <w:r>
        <w:rPr>
          <w:rFonts w:ascii="Verdana" w:hAnsi="Verdana" w:cs="Arial"/>
          <w:b/>
          <w:bCs/>
        </w:rPr>
        <w:t>t :</w:t>
      </w:r>
      <w:r>
        <w:rPr>
          <w:rFonts w:ascii="Verdana" w:hAnsi="Verdana" w:cs="Arial"/>
          <w:i/>
          <w:iCs/>
          <w:sz w:val="18"/>
          <w:szCs w:val="20"/>
        </w:rPr>
        <w:t>Sports (tennis, natation), voyages (Maroc, Brésil, Espagne…), photographie.</w:t>
      </w:r>
    </w:p>
    <w:sectPr w:rsidR="00000000">
      <w:pgSz w:w="11906" w:h="16838"/>
      <w:pgMar w:top="426" w:right="746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80003"/>
    <w:multiLevelType w:val="hybridMultilevel"/>
    <w:tmpl w:val="DBBC72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D60941"/>
    <w:multiLevelType w:val="hybridMultilevel"/>
    <w:tmpl w:val="B0E6ED8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BF4A33"/>
    <w:multiLevelType w:val="hybridMultilevel"/>
    <w:tmpl w:val="8D4292DC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767"/>
    <w:rsid w:val="0065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 w:line="360" w:lineRule="auto"/>
      <w:jc w:val="both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semiHidden/>
    <w:rPr>
      <w:rFonts w:ascii="Arial" w:hAnsi="Arial" w:cs="Arial"/>
      <w:sz w:val="20"/>
    </w:rPr>
  </w:style>
  <w:style w:type="paragraph" w:styleId="Corpsdetexte2">
    <w:name w:val="Body Text 2"/>
    <w:basedOn w:val="Normal"/>
    <w:semiHidden/>
    <w:pPr>
      <w:spacing w:before="40"/>
    </w:pPr>
    <w:rPr>
      <w:rFonts w:ascii="Arial" w:hAnsi="Arial" w:cs="Arial"/>
      <w:i/>
      <w:sz w:val="20"/>
      <w:szCs w:val="20"/>
    </w:rPr>
  </w:style>
  <w:style w:type="paragraph" w:styleId="Corpsdetexte3">
    <w:name w:val="Body Text 3"/>
    <w:basedOn w:val="Normal"/>
    <w:semiHidden/>
    <w:pPr>
      <w:spacing w:before="40"/>
    </w:pPr>
    <w:rPr>
      <w:rFonts w:ascii="Verdana" w:hAnsi="Verdana" w:cs="Arial"/>
      <w:i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 w:line="360" w:lineRule="auto"/>
      <w:jc w:val="both"/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semiHidden/>
    <w:rPr>
      <w:rFonts w:ascii="Arial" w:hAnsi="Arial" w:cs="Arial"/>
      <w:sz w:val="20"/>
    </w:rPr>
  </w:style>
  <w:style w:type="paragraph" w:styleId="Corpsdetexte2">
    <w:name w:val="Body Text 2"/>
    <w:basedOn w:val="Normal"/>
    <w:semiHidden/>
    <w:pPr>
      <w:spacing w:before="40"/>
    </w:pPr>
    <w:rPr>
      <w:rFonts w:ascii="Arial" w:hAnsi="Arial" w:cs="Arial"/>
      <w:i/>
      <w:sz w:val="20"/>
      <w:szCs w:val="20"/>
    </w:rPr>
  </w:style>
  <w:style w:type="paragraph" w:styleId="Corpsdetexte3">
    <w:name w:val="Body Text 3"/>
    <w:basedOn w:val="Normal"/>
    <w:semiHidden/>
    <w:pPr>
      <w:spacing w:before="40"/>
    </w:pPr>
    <w:rPr>
      <w:rFonts w:ascii="Verdana" w:hAnsi="Verdana" w:cs="Arial"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Malek Mallouli</vt:lpstr>
    </vt:vector>
  </TitlesOfParts>
  <Company>TOSHIBA</Company>
  <LinksUpToDate>false</LinksUpToDate>
  <CharactersWithSpaces>3656</CharactersWithSpaces>
  <SharedDoc>false</SharedDoc>
  <HLinks>
    <vt:vector size="6" baseType="variant">
      <vt:variant>
        <vt:i4>3145743</vt:i4>
      </vt:variant>
      <vt:variant>
        <vt:i4>-1</vt:i4>
      </vt:variant>
      <vt:variant>
        <vt:i4>1030</vt:i4>
      </vt:variant>
      <vt:variant>
        <vt:i4>1</vt:i4>
      </vt:variant>
      <vt:variant>
        <vt:lpwstr>IMG_0517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Malek Mallouli</dc:title>
  <dc:subject/>
  <dc:creator>Mr Mallouli Malek</dc:creator>
  <cp:keywords/>
  <cp:lastModifiedBy>Pierre JOUBERT</cp:lastModifiedBy>
  <cp:revision>2</cp:revision>
  <cp:lastPrinted>2011-06-27T10:59:00Z</cp:lastPrinted>
  <dcterms:created xsi:type="dcterms:W3CDTF">2012-08-30T09:35:00Z</dcterms:created>
  <dcterms:modified xsi:type="dcterms:W3CDTF">2012-08-30T09:35:00Z</dcterms:modified>
</cp:coreProperties>
</file>