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E35237">
      <w:pPr>
        <w:pStyle w:val="Titre0"/>
      </w:pPr>
      <w:bookmarkStart w:id="0" w:name="_GoBack"/>
      <w:bookmarkEnd w:id="0"/>
      <w:r>
        <w:t xml:space="preserve">évaluation / audit de </w:t>
      </w:r>
      <w:r>
        <w:br/>
        <w:t xml:space="preserve">société de Services </w:t>
      </w:r>
      <w:r>
        <w:br/>
        <w:t>JOUVEINAL</w:t>
      </w:r>
    </w:p>
    <w:p w:rsidR="00000000" w:rsidRDefault="00E35237">
      <w:pPr>
        <w:pStyle w:val="Titre1"/>
      </w:pPr>
      <w:bookmarkStart w:id="1" w:name="_Toc382209446"/>
      <w:bookmarkStart w:id="2" w:name="_Toc384542484"/>
      <w:r>
        <w:t>sommaire</w:t>
      </w:r>
      <w:bookmarkEnd w:id="1"/>
      <w:bookmarkEnd w:id="2"/>
    </w:p>
    <w:p w:rsidR="00000000" w:rsidRDefault="00E35237">
      <w:pPr>
        <w:pStyle w:val="TM1"/>
      </w:pPr>
      <w:r>
        <w:fldChar w:fldCharType="begin"/>
      </w:r>
      <w:r>
        <w:instrText xml:space="preserve"> </w:instrText>
      </w:r>
      <w:r>
        <w:instrText>TOC</w:instrText>
      </w:r>
      <w:r>
        <w:instrText xml:space="preserve">  \* </w:instrText>
      </w:r>
      <w:r>
        <w:instrText>MERGEFORMAT</w:instrText>
      </w:r>
      <w:r>
        <w:instrText xml:space="preserve">  \o "1-4"</w:instrText>
      </w:r>
      <w:r>
        <w:fldChar w:fldCharType="separate"/>
      </w:r>
      <w:r>
        <w:t>SOMMAIRE</w:t>
      </w:r>
      <w:r>
        <w:tab/>
      </w:r>
      <w:r>
        <w:fldChar w:fldCharType="begin"/>
      </w:r>
      <w:r>
        <w:instrText xml:space="preserve"> </w:instrText>
      </w:r>
      <w:r>
        <w:instrText>GOTOBUTTON</w:instrText>
      </w:r>
      <w:r>
        <w:instrText xml:space="preserve"> _Toc384542484  </w:instrText>
      </w:r>
      <w:r>
        <w:fldChar w:fldCharType="begin"/>
      </w:r>
      <w:r>
        <w:instrText xml:space="preserve"> </w:instrText>
      </w:r>
      <w:r>
        <w:instrText>PAGEREF</w:instrText>
      </w:r>
      <w:r>
        <w:instrText xml:space="preserve"> _Toc384542484 </w:instrText>
      </w:r>
      <w:r>
        <w:fldChar w:fldCharType="separate"/>
      </w:r>
      <w:r>
        <w:instrText>1</w:instrText>
      </w:r>
      <w:r>
        <w:fldChar w:fldCharType="end"/>
      </w:r>
      <w:r>
        <w:fldChar w:fldCharType="end"/>
      </w:r>
    </w:p>
    <w:p w:rsidR="00000000" w:rsidRDefault="00E35237">
      <w:pPr>
        <w:pStyle w:val="TM1"/>
      </w:pPr>
      <w:r>
        <w:t>OBJECTIF DE LA PROCÉDURE</w:t>
      </w:r>
      <w:r>
        <w:tab/>
      </w:r>
      <w:r>
        <w:fldChar w:fldCharType="begin"/>
      </w:r>
      <w:r>
        <w:instrText xml:space="preserve"> </w:instrText>
      </w:r>
      <w:r>
        <w:instrText>GOTOBUTTON</w:instrText>
      </w:r>
      <w:r>
        <w:instrText xml:space="preserve"> _Toc384542485  </w:instrText>
      </w:r>
      <w:r>
        <w:fldChar w:fldCharType="begin"/>
      </w:r>
      <w:r>
        <w:instrText xml:space="preserve"> </w:instrText>
      </w:r>
      <w:r>
        <w:instrText>PAGEREF</w:instrText>
      </w:r>
      <w:r>
        <w:instrText xml:space="preserve"> _Toc384542485 </w:instrText>
      </w:r>
      <w:r>
        <w:fldChar w:fldCharType="separate"/>
      </w:r>
      <w:r>
        <w:instrText>1</w:instrText>
      </w:r>
      <w:r>
        <w:fldChar w:fldCharType="end"/>
      </w:r>
      <w:r>
        <w:fldChar w:fldCharType="end"/>
      </w:r>
    </w:p>
    <w:p w:rsidR="00000000" w:rsidRDefault="00E35237">
      <w:pPr>
        <w:pStyle w:val="TM1"/>
      </w:pPr>
      <w:r>
        <w:t>CHAMP D'APPLICATION DE LA PROCÉDURE</w:t>
      </w:r>
      <w:r>
        <w:tab/>
      </w:r>
      <w:r>
        <w:fldChar w:fldCharType="begin"/>
      </w:r>
      <w:r>
        <w:instrText xml:space="preserve"> </w:instrText>
      </w:r>
      <w:r>
        <w:instrText>GOTOBUTTON</w:instrText>
      </w:r>
      <w:r>
        <w:instrText xml:space="preserve"> _Toc384542486  </w:instrText>
      </w:r>
      <w:r>
        <w:fldChar w:fldCharType="begin"/>
      </w:r>
      <w:r>
        <w:instrText xml:space="preserve"> </w:instrText>
      </w:r>
      <w:r>
        <w:instrText>PAGEREF</w:instrText>
      </w:r>
      <w:r>
        <w:instrText xml:space="preserve"> _Toc384542486 </w:instrText>
      </w:r>
      <w:r>
        <w:fldChar w:fldCharType="separate"/>
      </w:r>
      <w:r>
        <w:instrText>1</w:instrText>
      </w:r>
      <w:r>
        <w:fldChar w:fldCharType="end"/>
      </w:r>
      <w:r>
        <w:fldChar w:fldCharType="end"/>
      </w:r>
    </w:p>
    <w:p w:rsidR="00000000" w:rsidRDefault="00E35237">
      <w:pPr>
        <w:pStyle w:val="TM1"/>
      </w:pPr>
      <w:r>
        <w:t>PRINCIPES</w:t>
      </w:r>
      <w:r>
        <w:tab/>
      </w:r>
      <w:r>
        <w:fldChar w:fldCharType="begin"/>
      </w:r>
      <w:r>
        <w:instrText xml:space="preserve"> </w:instrText>
      </w:r>
      <w:r>
        <w:instrText>GOTOBUTTON</w:instrText>
      </w:r>
      <w:r>
        <w:instrText xml:space="preserve"> _Toc384542487  </w:instrText>
      </w:r>
      <w:r>
        <w:fldChar w:fldCharType="begin"/>
      </w:r>
      <w:r>
        <w:instrText xml:space="preserve"> </w:instrText>
      </w:r>
      <w:r>
        <w:instrText>PAGEREF</w:instrText>
      </w:r>
      <w:r>
        <w:instrText xml:space="preserve"> _Toc384542487 </w:instrText>
      </w:r>
      <w:r>
        <w:fldChar w:fldCharType="separate"/>
      </w:r>
      <w:r>
        <w:instrText>1</w:instrText>
      </w:r>
      <w:r>
        <w:fldChar w:fldCharType="end"/>
      </w:r>
      <w:r>
        <w:fldChar w:fldCharType="end"/>
      </w:r>
    </w:p>
    <w:p w:rsidR="00000000" w:rsidRDefault="00E35237">
      <w:pPr>
        <w:pStyle w:val="TM1"/>
      </w:pPr>
      <w:r>
        <w:t>RÉFÉRENCES</w:t>
      </w:r>
      <w:r>
        <w:tab/>
      </w:r>
      <w:r>
        <w:fldChar w:fldCharType="begin"/>
      </w:r>
      <w:r>
        <w:instrText xml:space="preserve"> </w:instrText>
      </w:r>
      <w:r>
        <w:instrText>GOTOBUTTON</w:instrText>
      </w:r>
      <w:r>
        <w:instrText xml:space="preserve"> _Toc384542488  </w:instrText>
      </w:r>
      <w:r>
        <w:fldChar w:fldCharType="begin"/>
      </w:r>
      <w:r>
        <w:instrText xml:space="preserve"> </w:instrText>
      </w:r>
      <w:r>
        <w:instrText>PAGEREF</w:instrText>
      </w:r>
      <w:r>
        <w:instrText xml:space="preserve"> _Toc384542488 </w:instrText>
      </w:r>
      <w:r>
        <w:fldChar w:fldCharType="separate"/>
      </w:r>
      <w:r>
        <w:instrText>2</w:instrText>
      </w:r>
      <w:r>
        <w:fldChar w:fldCharType="end"/>
      </w:r>
      <w:r>
        <w:fldChar w:fldCharType="end"/>
      </w:r>
    </w:p>
    <w:p w:rsidR="00000000" w:rsidRDefault="00E35237">
      <w:pPr>
        <w:pStyle w:val="TM1"/>
      </w:pPr>
      <w:r>
        <w:t>DÉFINITIONS</w:t>
      </w:r>
      <w:r>
        <w:tab/>
      </w:r>
      <w:r>
        <w:fldChar w:fldCharType="begin"/>
      </w:r>
      <w:r>
        <w:instrText xml:space="preserve"> </w:instrText>
      </w:r>
      <w:r>
        <w:instrText>GOTOBUTTON</w:instrText>
      </w:r>
      <w:r>
        <w:instrText xml:space="preserve"> _Toc384542489  </w:instrText>
      </w:r>
      <w:r>
        <w:fldChar w:fldCharType="begin"/>
      </w:r>
      <w:r>
        <w:instrText xml:space="preserve"> </w:instrText>
      </w:r>
      <w:r>
        <w:instrText>PAGEREF</w:instrText>
      </w:r>
      <w:r>
        <w:instrText xml:space="preserve"> _Toc384542489 </w:instrText>
      </w:r>
      <w:r>
        <w:fldChar w:fldCharType="separate"/>
      </w:r>
      <w:r>
        <w:instrText>2</w:instrText>
      </w:r>
      <w:r>
        <w:fldChar w:fldCharType="end"/>
      </w:r>
      <w:r>
        <w:fldChar w:fldCharType="end"/>
      </w:r>
    </w:p>
    <w:p w:rsidR="00000000" w:rsidRDefault="00E35237">
      <w:pPr>
        <w:pStyle w:val="TM1"/>
      </w:pPr>
      <w:r>
        <w:t>PERSONNES CONCERNÉES</w:t>
      </w:r>
      <w:r>
        <w:tab/>
      </w:r>
      <w:r>
        <w:fldChar w:fldCharType="begin"/>
      </w:r>
      <w:r>
        <w:instrText xml:space="preserve"> </w:instrText>
      </w:r>
      <w:r>
        <w:instrText>GOTOBUTTON</w:instrText>
      </w:r>
      <w:r>
        <w:instrText xml:space="preserve"> _Toc384542490  </w:instrText>
      </w:r>
      <w:r>
        <w:fldChar w:fldCharType="begin"/>
      </w:r>
      <w:r>
        <w:instrText xml:space="preserve"> </w:instrText>
      </w:r>
      <w:r>
        <w:instrText>PAGEREF</w:instrText>
      </w:r>
      <w:r>
        <w:instrText xml:space="preserve"> _Toc384542490 </w:instrText>
      </w:r>
      <w:r>
        <w:fldChar w:fldCharType="separate"/>
      </w:r>
      <w:r>
        <w:instrText>2</w:instrText>
      </w:r>
      <w:r>
        <w:fldChar w:fldCharType="end"/>
      </w:r>
      <w:r>
        <w:fldChar w:fldCharType="end"/>
      </w:r>
    </w:p>
    <w:p w:rsidR="00000000" w:rsidRDefault="00E35237">
      <w:pPr>
        <w:pStyle w:val="TM1"/>
      </w:pPr>
      <w:r>
        <w:t>ÉVALUATION PRÉALABLE</w:t>
      </w:r>
      <w:r>
        <w:tab/>
      </w:r>
      <w:r>
        <w:fldChar w:fldCharType="begin"/>
      </w:r>
      <w:r>
        <w:instrText xml:space="preserve"> </w:instrText>
      </w:r>
      <w:r>
        <w:instrText>GOTOBUTTON</w:instrText>
      </w:r>
      <w:r>
        <w:instrText xml:space="preserve"> _Toc384542491  </w:instrText>
      </w:r>
      <w:r>
        <w:fldChar w:fldCharType="begin"/>
      </w:r>
      <w:r>
        <w:instrText xml:space="preserve"> </w:instrText>
      </w:r>
      <w:r>
        <w:instrText>PAGEREF</w:instrText>
      </w:r>
      <w:r>
        <w:instrText xml:space="preserve"> _Toc384542491 </w:instrText>
      </w:r>
      <w:r>
        <w:fldChar w:fldCharType="separate"/>
      </w:r>
      <w:r>
        <w:instrText>2</w:instrText>
      </w:r>
      <w:r>
        <w:fldChar w:fldCharType="end"/>
      </w:r>
      <w:r>
        <w:fldChar w:fldCharType="end"/>
      </w:r>
    </w:p>
    <w:p w:rsidR="00000000" w:rsidRDefault="00E35237">
      <w:pPr>
        <w:pStyle w:val="TM3"/>
        <w:rPr>
          <w:noProof/>
        </w:rPr>
      </w:pPr>
      <w:r>
        <w:rPr>
          <w:noProof/>
        </w:rPr>
        <w:t xml:space="preserve">Cas des </w:t>
      </w:r>
      <w:r>
        <w:rPr>
          <w:noProof/>
        </w:rPr>
        <w:t>Sociétés de Services certifiées ISO 9000</w:t>
      </w:r>
      <w:r>
        <w:rPr>
          <w:noProof/>
        </w:rPr>
        <w:tab/>
      </w:r>
      <w:r>
        <w:rPr>
          <w:noProof/>
        </w:rPr>
        <w:fldChar w:fldCharType="begin"/>
      </w:r>
      <w:r>
        <w:rPr>
          <w:noProof/>
        </w:rPr>
        <w:instrText xml:space="preserve"> </w:instrText>
      </w:r>
      <w:r>
        <w:rPr>
          <w:noProof/>
        </w:rPr>
        <w:instrText>GOTOBUTTON</w:instrText>
      </w:r>
      <w:r>
        <w:rPr>
          <w:noProof/>
        </w:rPr>
        <w:instrText xml:space="preserve"> _Toc384542492  </w:instrText>
      </w:r>
      <w:r>
        <w:rPr>
          <w:noProof/>
        </w:rPr>
        <w:fldChar w:fldCharType="begin"/>
      </w:r>
      <w:r>
        <w:rPr>
          <w:noProof/>
        </w:rPr>
        <w:instrText xml:space="preserve"> </w:instrText>
      </w:r>
      <w:r>
        <w:rPr>
          <w:noProof/>
        </w:rPr>
        <w:instrText>PAGEREF</w:instrText>
      </w:r>
      <w:r>
        <w:rPr>
          <w:noProof/>
        </w:rPr>
        <w:instrText xml:space="preserve"> _Toc384542492 </w:instrText>
      </w:r>
      <w:r>
        <w:rPr>
          <w:noProof/>
        </w:rPr>
        <w:fldChar w:fldCharType="separate"/>
      </w:r>
      <w:r>
        <w:rPr>
          <w:noProof/>
        </w:rPr>
        <w:instrText>2</w:instrText>
      </w:r>
      <w:r>
        <w:rPr>
          <w:noProof/>
        </w:rPr>
        <w:fldChar w:fldCharType="end"/>
      </w:r>
      <w:r>
        <w:rPr>
          <w:noProof/>
        </w:rPr>
        <w:fldChar w:fldCharType="end"/>
      </w:r>
    </w:p>
    <w:p w:rsidR="00000000" w:rsidRDefault="00E35237">
      <w:pPr>
        <w:pStyle w:val="TM1"/>
      </w:pPr>
      <w:r>
        <w:t>AUDITS DE SUIVI</w:t>
      </w:r>
      <w:r>
        <w:tab/>
      </w:r>
      <w:r>
        <w:fldChar w:fldCharType="begin"/>
      </w:r>
      <w:r>
        <w:instrText xml:space="preserve"> </w:instrText>
      </w:r>
      <w:r>
        <w:instrText>GOTOBUTTON</w:instrText>
      </w:r>
      <w:r>
        <w:instrText xml:space="preserve"> _Toc384542493  </w:instrText>
      </w:r>
      <w:r>
        <w:fldChar w:fldCharType="begin"/>
      </w:r>
      <w:r>
        <w:instrText xml:space="preserve"> </w:instrText>
      </w:r>
      <w:r>
        <w:instrText>PAGEREF</w:instrText>
      </w:r>
      <w:r>
        <w:instrText xml:space="preserve"> _Toc384542493 </w:instrText>
      </w:r>
      <w:r>
        <w:fldChar w:fldCharType="separate"/>
      </w:r>
      <w:r>
        <w:instrText>3</w:instrText>
      </w:r>
      <w:r>
        <w:fldChar w:fldCharType="end"/>
      </w:r>
      <w:r>
        <w:fldChar w:fldCharType="end"/>
      </w:r>
    </w:p>
    <w:p w:rsidR="00000000" w:rsidRDefault="00E35237">
      <w:pPr>
        <w:pStyle w:val="TM1"/>
      </w:pPr>
      <w:r>
        <w:t>RAPPORT ET SUIVI D'AUDIT</w:t>
      </w:r>
      <w:r>
        <w:tab/>
      </w:r>
      <w:r>
        <w:fldChar w:fldCharType="begin"/>
      </w:r>
      <w:r>
        <w:instrText xml:space="preserve"> </w:instrText>
      </w:r>
      <w:r>
        <w:instrText>GOTOBUTTON</w:instrText>
      </w:r>
      <w:r>
        <w:instrText xml:space="preserve"> _Toc384542494  </w:instrText>
      </w:r>
      <w:r>
        <w:fldChar w:fldCharType="begin"/>
      </w:r>
      <w:r>
        <w:instrText xml:space="preserve"> </w:instrText>
      </w:r>
      <w:r>
        <w:instrText>PAGEREF</w:instrText>
      </w:r>
      <w:r>
        <w:instrText xml:space="preserve"> _Toc384542494 </w:instrText>
      </w:r>
      <w:r>
        <w:fldChar w:fldCharType="separate"/>
      </w:r>
      <w:r>
        <w:instrText>3</w:instrText>
      </w:r>
      <w:r>
        <w:fldChar w:fldCharType="end"/>
      </w:r>
      <w:r>
        <w:fldChar w:fldCharType="end"/>
      </w:r>
    </w:p>
    <w:p w:rsidR="00000000" w:rsidRDefault="00E35237">
      <w:pPr>
        <w:pStyle w:val="TM1"/>
      </w:pPr>
      <w:r>
        <w:t>DOCUMENTS ET ENREGISTREMENTS</w:t>
      </w:r>
      <w:r>
        <w:tab/>
      </w:r>
      <w:r>
        <w:fldChar w:fldCharType="begin"/>
      </w:r>
      <w:r>
        <w:instrText xml:space="preserve"> </w:instrText>
      </w:r>
      <w:r>
        <w:instrText>GOTOBUTTON</w:instrText>
      </w:r>
      <w:r>
        <w:instrText xml:space="preserve"> _Toc384542495  </w:instrText>
      </w:r>
      <w:r>
        <w:fldChar w:fldCharType="begin"/>
      </w:r>
      <w:r>
        <w:instrText xml:space="preserve"> </w:instrText>
      </w:r>
      <w:r>
        <w:instrText>PAGEREF</w:instrText>
      </w:r>
      <w:r>
        <w:instrText xml:space="preserve"> _Toc384542495 </w:instrText>
      </w:r>
      <w:r>
        <w:fldChar w:fldCharType="separate"/>
      </w:r>
      <w:r>
        <w:instrText>3</w:instrText>
      </w:r>
      <w:r>
        <w:fldChar w:fldCharType="end"/>
      </w:r>
      <w:r>
        <w:fldChar w:fldCharType="end"/>
      </w:r>
    </w:p>
    <w:p w:rsidR="00000000" w:rsidRDefault="00E35237">
      <w:pPr>
        <w:pStyle w:val="Titre1"/>
      </w:pPr>
      <w:r>
        <w:fldChar w:fldCharType="end"/>
      </w:r>
      <w:bookmarkStart w:id="3" w:name="_Toc382209447"/>
      <w:bookmarkStart w:id="4" w:name="_Toc384542485"/>
      <w:r>
        <w:t>Objectif de la procédure</w:t>
      </w:r>
      <w:bookmarkEnd w:id="3"/>
      <w:bookmarkEnd w:id="4"/>
    </w:p>
    <w:p w:rsidR="00000000" w:rsidRDefault="00E35237">
      <w:r>
        <w:t>Définir les conditions d'évaluation et d'audit des Sociétés de Services (CRO), en conformité avec la procédure "Pro</w:t>
      </w:r>
      <w:r>
        <w:t>cédure-Cadre Audit".</w:t>
      </w:r>
    </w:p>
    <w:p w:rsidR="00000000" w:rsidRDefault="00E35237">
      <w:pPr>
        <w:pStyle w:val="Titre1"/>
      </w:pPr>
      <w:bookmarkStart w:id="5" w:name="_Toc382209448"/>
      <w:bookmarkStart w:id="6" w:name="_Toc384542486"/>
      <w:r>
        <w:t>champ d'application de la procédure</w:t>
      </w:r>
      <w:bookmarkEnd w:id="5"/>
      <w:bookmarkEnd w:id="6"/>
    </w:p>
    <w:p w:rsidR="00000000" w:rsidRDefault="00E35237">
      <w:bookmarkStart w:id="7" w:name="_Toc382209449"/>
      <w:r>
        <w:t>Toutes les Sociétés de Services à qui le Département Médical décide de déléguer tout ou partie des responsabilités de promoteur vis-à-vis de la réglementation. A titre d'exemples, les responsabilités de promoteur concernent les aspects suivants, mais n'y sont pas limitées :</w:t>
      </w:r>
    </w:p>
    <w:p w:rsidR="00000000" w:rsidRDefault="00E35237" w:rsidP="00E35237">
      <w:pPr>
        <w:pStyle w:val="B1"/>
        <w:numPr>
          <w:ilvl w:val="0"/>
          <w:numId w:val="1"/>
        </w:numPr>
        <w:ind w:left="1418" w:hanging="284"/>
      </w:pPr>
      <w:r>
        <w:t>Rédaction du protocole,</w:t>
      </w:r>
    </w:p>
    <w:p w:rsidR="00000000" w:rsidRDefault="00E35237" w:rsidP="00E35237">
      <w:pPr>
        <w:pStyle w:val="B1"/>
        <w:numPr>
          <w:ilvl w:val="0"/>
          <w:numId w:val="1"/>
        </w:numPr>
        <w:ind w:left="1418" w:hanging="284"/>
      </w:pPr>
      <w:r>
        <w:t>Rédaction du cahier d'observation,</w:t>
      </w:r>
    </w:p>
    <w:p w:rsidR="00000000" w:rsidRDefault="00E35237" w:rsidP="00E35237">
      <w:pPr>
        <w:pStyle w:val="B1"/>
        <w:numPr>
          <w:ilvl w:val="0"/>
          <w:numId w:val="1"/>
        </w:numPr>
        <w:ind w:left="1418" w:hanging="284"/>
      </w:pPr>
      <w:r>
        <w:t>Sélection des investigateurs,</w:t>
      </w:r>
    </w:p>
    <w:p w:rsidR="00000000" w:rsidRDefault="00E35237" w:rsidP="00E35237">
      <w:pPr>
        <w:pStyle w:val="B1"/>
        <w:numPr>
          <w:ilvl w:val="0"/>
          <w:numId w:val="1"/>
        </w:numPr>
        <w:ind w:left="1418" w:hanging="284"/>
      </w:pPr>
      <w:r>
        <w:t>Démarches administratives (CNO, Agence du Médicament),</w:t>
      </w:r>
    </w:p>
    <w:p w:rsidR="00000000" w:rsidRDefault="00E35237" w:rsidP="00E35237">
      <w:pPr>
        <w:pStyle w:val="B1"/>
        <w:numPr>
          <w:ilvl w:val="0"/>
          <w:numId w:val="1"/>
        </w:numPr>
        <w:ind w:left="1418" w:hanging="284"/>
      </w:pPr>
      <w:r>
        <w:t>Démarches auprès des directeurs hosp</w:t>
      </w:r>
      <w:r>
        <w:t>italiers et des pharmaciens hospitaliers,</w:t>
      </w:r>
    </w:p>
    <w:p w:rsidR="00000000" w:rsidRDefault="00E35237" w:rsidP="00E35237">
      <w:pPr>
        <w:pStyle w:val="B1"/>
        <w:numPr>
          <w:ilvl w:val="0"/>
          <w:numId w:val="1"/>
        </w:numPr>
        <w:ind w:left="1418" w:hanging="284"/>
      </w:pPr>
      <w:r>
        <w:t>Monitorage des investigateurs,</w:t>
      </w:r>
    </w:p>
    <w:p w:rsidR="00000000" w:rsidRDefault="00E35237" w:rsidP="00E35237">
      <w:pPr>
        <w:pStyle w:val="B1"/>
        <w:numPr>
          <w:ilvl w:val="0"/>
          <w:numId w:val="1"/>
        </w:numPr>
        <w:ind w:left="1418" w:hanging="284"/>
      </w:pPr>
      <w:r>
        <w:t>Recueil d'information de pharmacovigilance,</w:t>
      </w:r>
    </w:p>
    <w:p w:rsidR="00000000" w:rsidRDefault="00E35237" w:rsidP="00E35237">
      <w:pPr>
        <w:pStyle w:val="B1"/>
        <w:numPr>
          <w:ilvl w:val="0"/>
          <w:numId w:val="1"/>
        </w:numPr>
        <w:ind w:left="1418" w:hanging="284"/>
      </w:pPr>
      <w:r>
        <w:t>Data management et analyse statistique.</w:t>
      </w:r>
    </w:p>
    <w:p w:rsidR="00000000" w:rsidRDefault="00E35237">
      <w:pPr>
        <w:pStyle w:val="Titre1"/>
      </w:pPr>
      <w:bookmarkStart w:id="8" w:name="_Toc384542487"/>
      <w:r>
        <w:t>principe</w:t>
      </w:r>
      <w:bookmarkEnd w:id="7"/>
      <w:r>
        <w:t>S</w:t>
      </w:r>
      <w:bookmarkEnd w:id="8"/>
    </w:p>
    <w:p w:rsidR="00000000" w:rsidRDefault="00E35237">
      <w:bookmarkStart w:id="9" w:name="_Toc382209450"/>
      <w:r>
        <w:t>Une Société de Services assume une ou plusieurs des responsabilités du promoteur. Ceci ne décharge absolument pas le promoteur de toute sa responsabilité légale (la délégation de responsabilité ne signifie pas un transfert de responsabilité).</w:t>
      </w:r>
    </w:p>
    <w:p w:rsidR="00000000" w:rsidRDefault="00E35237">
      <w:r>
        <w:t xml:space="preserve">Afin de pouvoir assumer cette responsabilité, d'optimiser les coûts et de pouvoir garantir la qualité </w:t>
      </w:r>
      <w:r>
        <w:t>des données recueillies, le recours à une Société de Services se fait dans un cadre méthodologique strict comportant entre autres dispositions :</w:t>
      </w:r>
    </w:p>
    <w:p w:rsidR="00000000" w:rsidRDefault="00E35237" w:rsidP="00E35237">
      <w:pPr>
        <w:pStyle w:val="B1"/>
        <w:numPr>
          <w:ilvl w:val="0"/>
          <w:numId w:val="1"/>
        </w:numPr>
        <w:ind w:left="1418" w:hanging="284"/>
      </w:pPr>
      <w:r>
        <w:t>une évaluation préalable à la signature du contrat,</w:t>
      </w:r>
    </w:p>
    <w:p w:rsidR="00000000" w:rsidRDefault="00E35237" w:rsidP="00E35237">
      <w:pPr>
        <w:pStyle w:val="B1"/>
        <w:numPr>
          <w:ilvl w:val="0"/>
          <w:numId w:val="1"/>
        </w:numPr>
        <w:ind w:left="1418" w:hanging="284"/>
      </w:pPr>
      <w:r>
        <w:t>un (des) audit(s) de suivi, au cours de la prestation.</w:t>
      </w:r>
    </w:p>
    <w:p w:rsidR="00000000" w:rsidRDefault="00E35237">
      <w:pPr>
        <w:pStyle w:val="Titre1"/>
      </w:pPr>
      <w:bookmarkStart w:id="10" w:name="_Toc384542488"/>
      <w:r>
        <w:lastRenderedPageBreak/>
        <w:t>références</w:t>
      </w:r>
      <w:bookmarkEnd w:id="9"/>
      <w:bookmarkEnd w:id="10"/>
    </w:p>
    <w:p w:rsidR="00000000" w:rsidRDefault="00E35237" w:rsidP="00E35237">
      <w:pPr>
        <w:pStyle w:val="B1"/>
        <w:numPr>
          <w:ilvl w:val="0"/>
          <w:numId w:val="0"/>
        </w:numPr>
        <w:ind w:left="2552" w:hanging="1418"/>
      </w:pPr>
      <w:bookmarkStart w:id="11" w:name="CSP"/>
      <w:r>
        <w:rPr>
          <w:b/>
        </w:rPr>
        <w:t>ICH/GCP/135/95</w:t>
      </w:r>
      <w:r>
        <w:tab/>
        <w:t>"</w:t>
      </w:r>
      <w:r>
        <w:rPr>
          <w:lang w:val="en-GB"/>
        </w:rPr>
        <w:t>Note for Guidance on Good Clinical Practice"</w:t>
      </w:r>
      <w:r>
        <w:t>, 17 Juillet 1996, applicable pour les études commençant après le 17 Janvier 1997.</w:t>
      </w:r>
    </w:p>
    <w:p w:rsidR="00000000" w:rsidRDefault="00E35237">
      <w:pPr>
        <w:pStyle w:val="Titre1"/>
      </w:pPr>
      <w:bookmarkStart w:id="12" w:name="_Toc382915823"/>
      <w:bookmarkStart w:id="13" w:name="_Toc384542489"/>
      <w:r>
        <w:t>définitions</w:t>
      </w:r>
      <w:bookmarkEnd w:id="12"/>
      <w:bookmarkEnd w:id="13"/>
    </w:p>
    <w:p w:rsidR="00000000" w:rsidRDefault="00E35237">
      <w:pPr>
        <w:pStyle w:val="Titre5"/>
      </w:pPr>
      <w:r>
        <w:t>Société de Services / Contract Research organization (CRO)</w:t>
      </w:r>
    </w:p>
    <w:p w:rsidR="00000000" w:rsidRDefault="00E35237">
      <w:pPr>
        <w:pStyle w:val="Definition"/>
        <w:rPr>
          <w:b/>
        </w:rPr>
      </w:pPr>
      <w:r>
        <w:t>«Une personne ou une organisation (</w:t>
      </w:r>
      <w:r>
        <w:t xml:space="preserve">commerciale, académique ou autre) sous contrat avec le promoteur pour réaliser un ou plusieurs fonctions et responsabilités du promoteur pour une étude clinique.» </w:t>
      </w:r>
      <w:r>
        <w:rPr>
          <w:b/>
        </w:rPr>
        <w:t>(ICH/GCP/135/95)</w:t>
      </w:r>
    </w:p>
    <w:p w:rsidR="00000000" w:rsidRDefault="00E35237">
      <w:pPr>
        <w:pStyle w:val="Titre1"/>
      </w:pPr>
      <w:bookmarkStart w:id="14" w:name="_Toc382209452"/>
      <w:bookmarkStart w:id="15" w:name="_Toc384542490"/>
      <w:bookmarkEnd w:id="11"/>
      <w:r>
        <w:t>Personnes concernées</w:t>
      </w:r>
      <w:bookmarkEnd w:id="15"/>
    </w:p>
    <w:p w:rsidR="00000000" w:rsidRDefault="00E35237" w:rsidP="00E35237">
      <w:pPr>
        <w:pStyle w:val="B1"/>
        <w:numPr>
          <w:ilvl w:val="0"/>
          <w:numId w:val="1"/>
        </w:numPr>
        <w:ind w:left="1418" w:hanging="284"/>
      </w:pPr>
      <w:r>
        <w:t>Directeur Médical,</w:t>
      </w:r>
    </w:p>
    <w:p w:rsidR="00000000" w:rsidRDefault="00E35237" w:rsidP="00E35237">
      <w:pPr>
        <w:pStyle w:val="B1"/>
        <w:numPr>
          <w:ilvl w:val="0"/>
          <w:numId w:val="1"/>
        </w:numPr>
        <w:ind w:left="1418" w:hanging="284"/>
      </w:pPr>
      <w:r>
        <w:t>Médecin responsable de l'étude,</w:t>
      </w:r>
    </w:p>
    <w:p w:rsidR="00000000" w:rsidRDefault="00E35237" w:rsidP="00E35237">
      <w:pPr>
        <w:pStyle w:val="B1"/>
        <w:numPr>
          <w:ilvl w:val="0"/>
          <w:numId w:val="1"/>
        </w:numPr>
        <w:ind w:left="1418" w:hanging="284"/>
      </w:pPr>
      <w:r>
        <w:t>Moniteur / Assistant de Recherche Clinique (ARC)</w:t>
      </w:r>
    </w:p>
    <w:p w:rsidR="00000000" w:rsidRDefault="00E35237" w:rsidP="00E35237">
      <w:pPr>
        <w:pStyle w:val="B1"/>
        <w:numPr>
          <w:ilvl w:val="0"/>
          <w:numId w:val="1"/>
        </w:numPr>
        <w:ind w:left="1418" w:hanging="284"/>
      </w:pPr>
      <w:r>
        <w:t>Responsable Assurance Qualité.</w:t>
      </w:r>
    </w:p>
    <w:p w:rsidR="00000000" w:rsidRDefault="00E35237">
      <w:pPr>
        <w:pStyle w:val="Titre1"/>
      </w:pPr>
      <w:bookmarkStart w:id="16" w:name="_Toc382915829"/>
      <w:bookmarkStart w:id="17" w:name="_Toc384542491"/>
      <w:r>
        <w:t>évaluation préalable</w:t>
      </w:r>
      <w:bookmarkEnd w:id="16"/>
      <w:bookmarkEnd w:id="17"/>
    </w:p>
    <w:p w:rsidR="00000000" w:rsidRDefault="00E35237">
      <w:r>
        <w:t>Mandaté par le Médecin responsable de l'étude, le Responsable Assurance Qualité réalise une évaluation préalable des Sociétés de Service en compétition - à moi</w:t>
      </w:r>
      <w:r>
        <w:t>ns qu'une telle évaluation ait été réalisée il y a moins d'un an et soit satisfaisante. Par cette évaluation, le Responsable Assurance Qualité s'engage sur la capacité du système qualité de la Société de Services à satisfaire les exigences de qualité du promoteur. La conclusion de l'évaluation est basée sur l'une des conclusions suivantes :</w:t>
      </w:r>
    </w:p>
    <w:p w:rsidR="00000000" w:rsidRDefault="00E35237" w:rsidP="00E35237">
      <w:pPr>
        <w:pStyle w:val="B1"/>
        <w:numPr>
          <w:ilvl w:val="0"/>
          <w:numId w:val="2"/>
        </w:numPr>
      </w:pPr>
      <w:r>
        <w:rPr>
          <w:i/>
        </w:rPr>
        <w:t>"En tant qu'Assureur Qualité, je garantis la capacité du système qualité de la Société de Services à satisfaire, en l'état, aux exigences de qualité du promoteur"</w:t>
      </w:r>
    </w:p>
    <w:p w:rsidR="00000000" w:rsidRDefault="00E35237" w:rsidP="00E35237">
      <w:pPr>
        <w:pStyle w:val="B1"/>
        <w:numPr>
          <w:ilvl w:val="0"/>
          <w:numId w:val="2"/>
        </w:numPr>
        <w:rPr>
          <w:i/>
        </w:rPr>
      </w:pPr>
      <w:r>
        <w:rPr>
          <w:i/>
        </w:rPr>
        <w:t>"En ta</w:t>
      </w:r>
      <w:r>
        <w:rPr>
          <w:i/>
        </w:rPr>
        <w:t>nt qu'Assureur Qualité, je garantis la capacité du système qualité de la Société de Services à satisfaire aux exigences de qualité du promoteur, sous réserve :</w:t>
      </w:r>
    </w:p>
    <w:p w:rsidR="00000000" w:rsidRDefault="00E35237" w:rsidP="00E35237">
      <w:pPr>
        <w:pStyle w:val="B2"/>
        <w:numPr>
          <w:ilvl w:val="0"/>
          <w:numId w:val="3"/>
        </w:numPr>
        <w:rPr>
          <w:i/>
        </w:rPr>
      </w:pPr>
      <w:r>
        <w:rPr>
          <w:i/>
        </w:rPr>
        <w:t xml:space="preserve">des modifications suivantes, préalables à l'étude </w:t>
      </w:r>
      <w:r>
        <w:t>(suit une énumération d'actions),</w:t>
      </w:r>
    </w:p>
    <w:p w:rsidR="00000000" w:rsidRDefault="00E35237" w:rsidP="00E35237">
      <w:pPr>
        <w:pStyle w:val="B2"/>
        <w:numPr>
          <w:ilvl w:val="0"/>
          <w:numId w:val="3"/>
        </w:numPr>
        <w:rPr>
          <w:i/>
        </w:rPr>
      </w:pPr>
      <w:r>
        <w:rPr>
          <w:i/>
        </w:rPr>
        <w:t xml:space="preserve">d'un suivi particulier pendant l'étude des points suivants </w:t>
      </w:r>
      <w:r>
        <w:t>(suit une énumération de points)</w:t>
      </w:r>
      <w:r>
        <w:rPr>
          <w:i/>
        </w:rPr>
        <w:t>" ;</w:t>
      </w:r>
    </w:p>
    <w:p w:rsidR="00000000" w:rsidRDefault="00E35237" w:rsidP="00E35237">
      <w:pPr>
        <w:pStyle w:val="B1"/>
        <w:numPr>
          <w:ilvl w:val="0"/>
          <w:numId w:val="2"/>
        </w:numPr>
        <w:rPr>
          <w:i/>
        </w:rPr>
      </w:pPr>
      <w:r>
        <w:rPr>
          <w:i/>
        </w:rPr>
        <w:t>"En tant qu'Assureur Qualité, je ne peux garantir la capacité du système qualité de la Société de Services à satisfaire aux exigences de qualité du promoteur."</w:t>
      </w:r>
    </w:p>
    <w:p w:rsidR="00000000" w:rsidRDefault="00E35237">
      <w:r>
        <w:t>Cette évaluat</w:t>
      </w:r>
      <w:r>
        <w:t>ion est basée sur les référentiels suivants :</w:t>
      </w:r>
    </w:p>
    <w:p w:rsidR="00000000" w:rsidRDefault="00E35237" w:rsidP="00E35237">
      <w:pPr>
        <w:pStyle w:val="B2"/>
        <w:numPr>
          <w:ilvl w:val="0"/>
          <w:numId w:val="3"/>
        </w:numPr>
      </w:pPr>
      <w:r>
        <w:t>la législation française et européenne,</w:t>
      </w:r>
    </w:p>
    <w:p w:rsidR="00000000" w:rsidRDefault="00E35237" w:rsidP="00E35237">
      <w:pPr>
        <w:pStyle w:val="B2"/>
        <w:numPr>
          <w:ilvl w:val="0"/>
          <w:numId w:val="3"/>
        </w:numPr>
      </w:pPr>
      <w:r>
        <w:t>les Bonnes Pratiques Cliniques françaises, européennes et ICH,</w:t>
      </w:r>
    </w:p>
    <w:p w:rsidR="00000000" w:rsidRDefault="00E35237">
      <w:r>
        <w:t>et s'inspire de la norme ISO 9002 pour l'évaluation de la capacité de la Société de Services à maîtriser :</w:t>
      </w:r>
    </w:p>
    <w:p w:rsidR="00000000" w:rsidRDefault="00E35237" w:rsidP="00E35237">
      <w:pPr>
        <w:pStyle w:val="B2"/>
        <w:numPr>
          <w:ilvl w:val="0"/>
          <w:numId w:val="3"/>
        </w:numPr>
      </w:pPr>
      <w:r>
        <w:t>le processus de recherche clinique,</w:t>
      </w:r>
    </w:p>
    <w:p w:rsidR="00000000" w:rsidRDefault="00E35237" w:rsidP="00E35237">
      <w:pPr>
        <w:pStyle w:val="B2"/>
        <w:numPr>
          <w:ilvl w:val="0"/>
          <w:numId w:val="3"/>
        </w:numPr>
      </w:pPr>
      <w:r>
        <w:t>la planification de projet,</w:t>
      </w:r>
    </w:p>
    <w:p w:rsidR="00000000" w:rsidRDefault="00E35237" w:rsidP="00E35237">
      <w:pPr>
        <w:pStyle w:val="B2"/>
        <w:numPr>
          <w:ilvl w:val="0"/>
          <w:numId w:val="3"/>
        </w:numPr>
      </w:pPr>
      <w:r>
        <w:t>les enregistrements et documents,</w:t>
      </w:r>
    </w:p>
    <w:p w:rsidR="00000000" w:rsidRDefault="00E35237" w:rsidP="00E35237">
      <w:pPr>
        <w:pStyle w:val="B2"/>
        <w:numPr>
          <w:ilvl w:val="0"/>
          <w:numId w:val="3"/>
        </w:numPr>
      </w:pPr>
      <w:r>
        <w:t>le besoin en personnel qualifié,</w:t>
      </w:r>
    </w:p>
    <w:p w:rsidR="00000000" w:rsidRDefault="00E35237" w:rsidP="00E35237">
      <w:pPr>
        <w:pStyle w:val="B2"/>
        <w:numPr>
          <w:ilvl w:val="0"/>
          <w:numId w:val="3"/>
        </w:numPr>
      </w:pPr>
      <w:r>
        <w:t>un système qualité en amélioration permanente.</w:t>
      </w:r>
    </w:p>
    <w:p w:rsidR="00000000" w:rsidRDefault="00E35237">
      <w:pPr>
        <w:pStyle w:val="Titre3"/>
      </w:pPr>
      <w:bookmarkStart w:id="18" w:name="_Toc382915830"/>
      <w:bookmarkStart w:id="19" w:name="_Toc384542492"/>
      <w:r>
        <w:t>Cas des Sociétés de Services certifiées ISO 9000</w:t>
      </w:r>
      <w:bookmarkEnd w:id="18"/>
      <w:bookmarkEnd w:id="19"/>
    </w:p>
    <w:p w:rsidR="00000000" w:rsidRDefault="00E35237">
      <w:r>
        <w:t xml:space="preserve">La certification ISO 9001 ou </w:t>
      </w:r>
      <w:r>
        <w:t>9002 apporte la garantie d'un système qualité complet et cohérent, orienté vers la satisfaction du client et l'amélioration permanente. C'est un argument important dans le choix d'une Société de Services. L'évaluation préliminaire d'une Société de Services certifiée peut donc être allégée et se focaliser sur les aspects spécifiques de recherche clinique.</w:t>
      </w:r>
    </w:p>
    <w:p w:rsidR="00000000" w:rsidRDefault="00E35237">
      <w:pPr>
        <w:pStyle w:val="Titre1"/>
      </w:pPr>
      <w:bookmarkStart w:id="20" w:name="_Toc382209453"/>
      <w:bookmarkStart w:id="21" w:name="_Toc382915839"/>
      <w:bookmarkStart w:id="22" w:name="_Toc384542493"/>
      <w:bookmarkEnd w:id="14"/>
      <w:r>
        <w:lastRenderedPageBreak/>
        <w:t>audits de suivi</w:t>
      </w:r>
      <w:bookmarkEnd w:id="21"/>
      <w:bookmarkEnd w:id="22"/>
    </w:p>
    <w:p w:rsidR="00000000" w:rsidRDefault="00E35237">
      <w:r>
        <w:t>Au cours de l'étude, le Responsable Assurance Qualité du promoteur réalise un ou des audits de la Société de Services pour l'une ou l'autre</w:t>
      </w:r>
      <w:r>
        <w:t xml:space="preserve"> des raisons suivantes :</w:t>
      </w:r>
    </w:p>
    <w:p w:rsidR="00000000" w:rsidRDefault="00E35237" w:rsidP="00E35237">
      <w:pPr>
        <w:pStyle w:val="B1"/>
        <w:numPr>
          <w:ilvl w:val="0"/>
          <w:numId w:val="1"/>
        </w:numPr>
        <w:ind w:left="1418" w:hanging="284"/>
      </w:pPr>
      <w:r>
        <w:t>systématiquement,</w:t>
      </w:r>
    </w:p>
    <w:p w:rsidR="00000000" w:rsidRDefault="00E35237" w:rsidP="00E35237">
      <w:pPr>
        <w:pStyle w:val="B1"/>
        <w:numPr>
          <w:ilvl w:val="0"/>
          <w:numId w:val="1"/>
        </w:numPr>
        <w:ind w:left="1418" w:hanging="284"/>
      </w:pPr>
      <w:r>
        <w:t>conformément au plan d'audit défini dans le Plan Qualité de l'étude,</w:t>
      </w:r>
    </w:p>
    <w:p w:rsidR="00000000" w:rsidRDefault="00E35237" w:rsidP="00E35237">
      <w:pPr>
        <w:pStyle w:val="B1"/>
        <w:numPr>
          <w:ilvl w:val="0"/>
          <w:numId w:val="1"/>
        </w:numPr>
        <w:ind w:left="1418" w:hanging="284"/>
      </w:pPr>
      <w:r>
        <w:t>de son propre chef ou à la demande du Chef de Projet en fonction d'une difficulté le nécessitant (mise en cause de la fiabilité du processus ou des données).</w:t>
      </w:r>
    </w:p>
    <w:p w:rsidR="00000000" w:rsidRDefault="00E35237">
      <w:r>
        <w:t>Ces audits couvrent les différents aspects de la recherche sous-traitée, par exemple :</w:t>
      </w:r>
    </w:p>
    <w:p w:rsidR="00000000" w:rsidRDefault="00E35237" w:rsidP="00E35237">
      <w:pPr>
        <w:pStyle w:val="B2"/>
        <w:numPr>
          <w:ilvl w:val="0"/>
          <w:numId w:val="3"/>
        </w:numPr>
      </w:pPr>
      <w:r>
        <w:t>le monitorage,</w:t>
      </w:r>
    </w:p>
    <w:p w:rsidR="00000000" w:rsidRDefault="00E35237" w:rsidP="00E35237">
      <w:pPr>
        <w:pStyle w:val="B2"/>
        <w:numPr>
          <w:ilvl w:val="0"/>
          <w:numId w:val="3"/>
        </w:numPr>
      </w:pPr>
      <w:r>
        <w:t>la documentation de l'étude,</w:t>
      </w:r>
    </w:p>
    <w:p w:rsidR="00000000" w:rsidRDefault="00E35237" w:rsidP="00E35237">
      <w:pPr>
        <w:pStyle w:val="B2"/>
        <w:numPr>
          <w:ilvl w:val="0"/>
          <w:numId w:val="3"/>
        </w:numPr>
      </w:pPr>
      <w:r>
        <w:t>le data management,</w:t>
      </w:r>
    </w:p>
    <w:p w:rsidR="00000000" w:rsidRDefault="00E35237" w:rsidP="00E35237">
      <w:pPr>
        <w:pStyle w:val="B2"/>
        <w:numPr>
          <w:ilvl w:val="0"/>
          <w:numId w:val="3"/>
        </w:numPr>
      </w:pPr>
      <w:r>
        <w:t>la pharmacovigilance,</w:t>
      </w:r>
    </w:p>
    <w:p w:rsidR="00000000" w:rsidRDefault="00E35237" w:rsidP="00E35237">
      <w:pPr>
        <w:pStyle w:val="B2"/>
        <w:numPr>
          <w:ilvl w:val="0"/>
          <w:numId w:val="3"/>
        </w:numPr>
      </w:pPr>
      <w:r>
        <w:t>l'analyse statistique.</w:t>
      </w:r>
    </w:p>
    <w:p w:rsidR="00000000" w:rsidRDefault="00E35237">
      <w:pPr>
        <w:pStyle w:val="Titre1"/>
      </w:pPr>
      <w:bookmarkStart w:id="23" w:name="_Toc384175274"/>
      <w:bookmarkStart w:id="24" w:name="_Toc384542494"/>
      <w:bookmarkEnd w:id="20"/>
      <w:r>
        <w:t>Rapport et suivi d'audit</w:t>
      </w:r>
      <w:bookmarkEnd w:id="24"/>
    </w:p>
    <w:p w:rsidR="00000000" w:rsidRDefault="00E35237">
      <w:r>
        <w:t>Le rapport et le plan</w:t>
      </w:r>
      <w:r>
        <w:t xml:space="preserve"> d'action sont réalisés conformément à la procédure "Procédure-Cadre Audit".</w:t>
      </w:r>
    </w:p>
    <w:p w:rsidR="00000000" w:rsidRDefault="00E35237">
      <w:pPr>
        <w:pStyle w:val="Titre1"/>
      </w:pPr>
      <w:bookmarkStart w:id="25" w:name="_Toc384542495"/>
      <w:r>
        <w:t>Documents et enregistrements</w:t>
      </w:r>
      <w:bookmarkEnd w:id="23"/>
      <w:bookmarkEnd w:id="25"/>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03"/>
        <w:gridCol w:w="2303"/>
        <w:gridCol w:w="2303"/>
        <w:gridCol w:w="2303"/>
      </w:tblGrid>
      <w:tr w:rsidR="00000000">
        <w:tblPrEx>
          <w:tblCellMar>
            <w:top w:w="0" w:type="dxa"/>
            <w:bottom w:w="0" w:type="dxa"/>
          </w:tblCellMar>
        </w:tblPrEx>
        <w:tc>
          <w:tcPr>
            <w:tcW w:w="2303" w:type="dxa"/>
          </w:tcPr>
          <w:p w:rsidR="00000000" w:rsidRDefault="00E35237">
            <w:pPr>
              <w:spacing w:before="60" w:after="60"/>
              <w:ind w:left="0"/>
              <w:jc w:val="center"/>
              <w:rPr>
                <w:b/>
              </w:rPr>
            </w:pPr>
            <w:r>
              <w:rPr>
                <w:b/>
              </w:rPr>
              <w:t>Document/Enregistrement</w:t>
            </w:r>
          </w:p>
        </w:tc>
        <w:tc>
          <w:tcPr>
            <w:tcW w:w="2303" w:type="dxa"/>
          </w:tcPr>
          <w:p w:rsidR="00000000" w:rsidRDefault="00E35237">
            <w:pPr>
              <w:spacing w:before="60" w:after="60"/>
              <w:ind w:left="0"/>
              <w:jc w:val="center"/>
              <w:rPr>
                <w:b/>
              </w:rPr>
            </w:pPr>
            <w:r>
              <w:rPr>
                <w:b/>
              </w:rPr>
              <w:t>Émetteur</w:t>
            </w:r>
          </w:p>
        </w:tc>
        <w:tc>
          <w:tcPr>
            <w:tcW w:w="2303" w:type="dxa"/>
          </w:tcPr>
          <w:p w:rsidR="00000000" w:rsidRDefault="00E35237">
            <w:pPr>
              <w:spacing w:before="60" w:after="60"/>
              <w:ind w:left="0"/>
              <w:jc w:val="center"/>
              <w:rPr>
                <w:b/>
              </w:rPr>
            </w:pPr>
            <w:r>
              <w:rPr>
                <w:b/>
              </w:rPr>
              <w:t>Destinataire</w:t>
            </w:r>
          </w:p>
        </w:tc>
        <w:tc>
          <w:tcPr>
            <w:tcW w:w="2303" w:type="dxa"/>
          </w:tcPr>
          <w:p w:rsidR="00000000" w:rsidRDefault="00E35237">
            <w:pPr>
              <w:spacing w:before="60" w:after="60"/>
              <w:ind w:left="0"/>
              <w:jc w:val="center"/>
              <w:rPr>
                <w:b/>
              </w:rPr>
            </w:pPr>
            <w:r>
              <w:rPr>
                <w:b/>
              </w:rPr>
              <w:t>Classement</w:t>
            </w:r>
          </w:p>
        </w:tc>
      </w:tr>
      <w:tr w:rsidR="00000000">
        <w:tblPrEx>
          <w:tblCellMar>
            <w:top w:w="0" w:type="dxa"/>
            <w:bottom w:w="0" w:type="dxa"/>
          </w:tblCellMar>
        </w:tblPrEx>
        <w:tc>
          <w:tcPr>
            <w:tcW w:w="2303" w:type="dxa"/>
          </w:tcPr>
          <w:p w:rsidR="00000000" w:rsidRDefault="00E35237">
            <w:pPr>
              <w:spacing w:before="60" w:after="60"/>
              <w:ind w:left="0"/>
              <w:jc w:val="left"/>
            </w:pPr>
            <w:r>
              <w:t>Rapport d'évaluation d'une Société de Services</w:t>
            </w:r>
          </w:p>
        </w:tc>
        <w:tc>
          <w:tcPr>
            <w:tcW w:w="2303" w:type="dxa"/>
          </w:tcPr>
          <w:p w:rsidR="00000000" w:rsidRDefault="00E35237">
            <w:pPr>
              <w:spacing w:before="60" w:after="60"/>
              <w:ind w:left="0"/>
              <w:jc w:val="left"/>
            </w:pPr>
            <w:r>
              <w:t>Responsable AQ</w:t>
            </w:r>
          </w:p>
        </w:tc>
        <w:tc>
          <w:tcPr>
            <w:tcW w:w="2303" w:type="dxa"/>
          </w:tcPr>
          <w:p w:rsidR="00000000" w:rsidRDefault="00E35237">
            <w:pPr>
              <w:spacing w:before="60" w:after="60"/>
              <w:ind w:left="0"/>
              <w:jc w:val="left"/>
            </w:pPr>
            <w:r>
              <w:t>Départements Médicaux</w:t>
            </w:r>
          </w:p>
        </w:tc>
        <w:tc>
          <w:tcPr>
            <w:tcW w:w="2303" w:type="dxa"/>
          </w:tcPr>
          <w:p w:rsidR="00000000" w:rsidRDefault="00E35237">
            <w:pPr>
              <w:spacing w:before="60" w:after="60"/>
              <w:ind w:left="0"/>
              <w:jc w:val="left"/>
            </w:pPr>
            <w:r>
              <w:t>Assurance Qualité</w:t>
            </w:r>
          </w:p>
        </w:tc>
      </w:tr>
      <w:tr w:rsidR="00000000">
        <w:tblPrEx>
          <w:tblCellMar>
            <w:top w:w="0" w:type="dxa"/>
            <w:bottom w:w="0" w:type="dxa"/>
          </w:tblCellMar>
        </w:tblPrEx>
        <w:tc>
          <w:tcPr>
            <w:tcW w:w="2303" w:type="dxa"/>
          </w:tcPr>
          <w:p w:rsidR="00000000" w:rsidRDefault="00E35237">
            <w:pPr>
              <w:spacing w:before="60" w:after="60"/>
              <w:ind w:left="0"/>
              <w:jc w:val="left"/>
            </w:pPr>
            <w:r>
              <w:t>Rapport d'audit de Société de Services</w:t>
            </w:r>
          </w:p>
        </w:tc>
        <w:tc>
          <w:tcPr>
            <w:tcW w:w="2303" w:type="dxa"/>
          </w:tcPr>
          <w:p w:rsidR="00000000" w:rsidRDefault="00E35237">
            <w:pPr>
              <w:spacing w:before="60" w:after="60"/>
              <w:ind w:left="0"/>
              <w:jc w:val="left"/>
            </w:pPr>
            <w:r>
              <w:t>Responsable AQ</w:t>
            </w:r>
          </w:p>
        </w:tc>
        <w:tc>
          <w:tcPr>
            <w:tcW w:w="2303" w:type="dxa"/>
          </w:tcPr>
          <w:p w:rsidR="00000000" w:rsidRDefault="00E35237">
            <w:pPr>
              <w:spacing w:before="60" w:after="60"/>
              <w:ind w:left="0"/>
              <w:jc w:val="left"/>
            </w:pPr>
            <w:r>
              <w:t>Départements Médicaux</w:t>
            </w:r>
          </w:p>
        </w:tc>
        <w:tc>
          <w:tcPr>
            <w:tcW w:w="2303" w:type="dxa"/>
          </w:tcPr>
          <w:p w:rsidR="00000000" w:rsidRDefault="00E35237">
            <w:pPr>
              <w:spacing w:before="60" w:after="60"/>
              <w:ind w:left="0"/>
              <w:jc w:val="left"/>
            </w:pPr>
            <w:r>
              <w:t>Assurance Qualité</w:t>
            </w:r>
          </w:p>
        </w:tc>
      </w:tr>
    </w:tbl>
    <w:p w:rsidR="00000000" w:rsidRDefault="00E35237">
      <w:pPr>
        <w:jc w:val="center"/>
      </w:pPr>
      <w:r>
        <w:t>__________</w:t>
      </w:r>
    </w:p>
    <w:sectPr w:rsidR="00000000">
      <w:headerReference w:type="default" r:id="rId8"/>
      <w:footerReference w:type="default" r:id="rId9"/>
      <w:pgSz w:w="11906" w:h="16838"/>
      <w:pgMar w:top="1417" w:right="1417" w:bottom="1417" w:left="1417" w:header="720" w:footer="6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35237">
      <w:pPr>
        <w:spacing w:before="0"/>
      </w:pPr>
      <w:r>
        <w:separator/>
      </w:r>
    </w:p>
  </w:endnote>
  <w:endnote w:type="continuationSeparator" w:id="0">
    <w:p w:rsidR="00000000" w:rsidRDefault="00E3523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35237">
    <w:pPr>
      <w:pStyle w:val="Pieddepage"/>
      <w:pBdr>
        <w:top w:val="single" w:sz="6" w:space="1" w:color="auto"/>
      </w:pBdr>
      <w:tabs>
        <w:tab w:val="clear" w:pos="4535"/>
        <w:tab w:val="clear" w:pos="9071"/>
      </w:tabs>
      <w:ind w:left="-851" w:right="-426"/>
      <w:jc w:val="center"/>
      <w:rPr>
        <w:rFonts w:ascii="Albertus Medium" w:hAnsi="Albertus Medium"/>
        <w:sz w:val="14"/>
      </w:rPr>
    </w:pPr>
    <w:r>
      <w:rPr>
        <w:rFonts w:ascii="Albertus Medium" w:hAnsi="Albertus Medium"/>
        <w:sz w:val="14"/>
      </w:rPr>
      <w:t xml:space="preserve">SUNNIKAN Consulting, S.A.R.L. au capital social de 50.000 F - </w:t>
    </w:r>
    <w:r>
      <w:rPr>
        <w:sz w:val="14"/>
      </w:rPr>
      <w:t xml:space="preserve">RCS CORBEIL-ESSONNES B 409 032 240 APE 741G / </w:t>
    </w:r>
    <w:r>
      <w:rPr>
        <w:sz w:val="14"/>
      </w:rPr>
      <w:fldChar w:fldCharType="begin"/>
    </w:r>
    <w:r>
      <w:rPr>
        <w:sz w:val="14"/>
      </w:rPr>
      <w:instrText xml:space="preserve"> </w:instrText>
    </w:r>
    <w:r>
      <w:rPr>
        <w:sz w:val="14"/>
      </w:rPr>
      <w:instrText>FILENAME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A_J_CRO.doc</w:t>
    </w:r>
    <w:r>
      <w:rPr>
        <w:sz w:val="14"/>
      </w:rPr>
      <w:fldChar w:fldCharType="end"/>
    </w:r>
    <w:r>
      <w:rPr>
        <w:sz w:val="14"/>
      </w:rPr>
      <w:t xml:space="preserve"> / </w:t>
    </w:r>
    <w:r>
      <w:rPr>
        <w:sz w:val="14"/>
      </w:rPr>
      <w:fldChar w:fldCharType="begin"/>
    </w:r>
    <w:r>
      <w:rPr>
        <w:sz w:val="14"/>
      </w:rPr>
      <w:instrText xml:space="preserve"> </w:instrText>
    </w:r>
    <w:r>
      <w:rPr>
        <w:sz w:val="14"/>
      </w:rPr>
      <w:instrText>DATE</w:instrText>
    </w:r>
    <w:r>
      <w:rPr>
        <w:sz w:val="14"/>
      </w:rPr>
      <w:instrText xml:space="preserve"> \@ "</w:instrText>
    </w:r>
    <w:r>
      <w:rPr>
        <w:sz w:val="14"/>
      </w:rPr>
      <w:instrText>d MMM yy</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30 août 12</w:t>
    </w:r>
    <w:r>
      <w:rPr>
        <w:sz w:val="14"/>
      </w:rPr>
      <w:fldChar w:fldCharType="end"/>
    </w:r>
    <w:r>
      <w:rPr>
        <w:sz w:val="14"/>
      </w:rPr>
      <w:t xml:space="preserve"> / P. </w:t>
    </w:r>
    <w:r>
      <w:rPr>
        <w:sz w:val="14"/>
      </w:rPr>
      <w:fldChar w:fldCharType="begin"/>
    </w:r>
    <w:r>
      <w:rPr>
        <w:sz w:val="14"/>
      </w:rPr>
      <w:instrText xml:space="preserve"> </w:instrText>
    </w:r>
    <w:r>
      <w:rPr>
        <w:sz w:val="14"/>
      </w:rPr>
      <w:instrText>PAGE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1</w:t>
    </w:r>
    <w:r>
      <w:rPr>
        <w:sz w:val="14"/>
      </w:rPr>
      <w:fldChar w:fldCharType="end"/>
    </w:r>
    <w:r>
      <w:rPr>
        <w:sz w:val="14"/>
      </w:rPr>
      <w:t>/</w:t>
    </w:r>
    <w:r>
      <w:rPr>
        <w:sz w:val="14"/>
      </w:rPr>
      <w:fldChar w:fldCharType="begin"/>
    </w:r>
    <w:r>
      <w:rPr>
        <w:sz w:val="14"/>
      </w:rPr>
      <w:instrText xml:space="preserve"> </w:instrText>
    </w:r>
    <w:r>
      <w:rPr>
        <w:sz w:val="14"/>
      </w:rPr>
      <w:instrText>NUMPAGES</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w:t>
    </w:r>
    <w:r>
      <w:rPr>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35237">
      <w:pPr>
        <w:spacing w:before="0"/>
      </w:pPr>
      <w:r>
        <w:separator/>
      </w:r>
    </w:p>
  </w:footnote>
  <w:footnote w:type="continuationSeparator" w:id="0">
    <w:p w:rsidR="00000000" w:rsidRDefault="00E35237">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35237">
    <w:pPr>
      <w:pStyle w:val="En-tte"/>
      <w:tabs>
        <w:tab w:val="clear" w:pos="4253"/>
        <w:tab w:val="clear" w:pos="8505"/>
        <w:tab w:val="right" w:leader="underscore" w:pos="9639"/>
      </w:tabs>
      <w:ind w:left="-567" w:right="-567"/>
      <w:rPr>
        <w:rFonts w:ascii="Albertus Medium" w:hAnsi="Albertus Medium"/>
      </w:rPr>
    </w:pPr>
    <w:r>
      <w:rPr>
        <w:rFonts w:ascii="Albertus Medium" w:hAnsi="Albertus Medium"/>
      </w:rPr>
      <w:t>SUNNIKAN Consulting</w:t>
    </w:r>
    <w:r>
      <w:rPr>
        <w:rFonts w:ascii="Albertus Medium" w:hAnsi="Albertus Medium"/>
      </w:rPr>
      <w:tab/>
    </w:r>
    <w:r>
      <w:t>JOUVEINAL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9A85B76"/>
    <w:lvl w:ilvl="0">
      <w:numFmt w:val="bullet"/>
      <w:lvlText w:val="*"/>
      <w:lvlJc w:val="left"/>
    </w:lvl>
  </w:abstractNum>
  <w:abstractNum w:abstractNumId="1">
    <w:nsid w:val="2C7C55D5"/>
    <w:multiLevelType w:val="singleLevel"/>
    <w:tmpl w:val="4720F2F6"/>
    <w:lvl w:ilvl="0">
      <w:start w:val="1"/>
      <w:numFmt w:val="decimal"/>
      <w:lvlText w:val="%1."/>
      <w:legacy w:legacy="1" w:legacySpace="0" w:legacyIndent="283"/>
      <w:lvlJc w:val="left"/>
      <w:pPr>
        <w:ind w:left="1417" w:hanging="283"/>
      </w:pPr>
    </w:lvl>
  </w:abstractNum>
  <w:num w:numId="1">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2">
    <w:abstractNumId w:val="1"/>
  </w:num>
  <w:num w:numId="3">
    <w:abstractNumId w:val="0"/>
    <w:lvlOverride w:ilvl="0">
      <w:lvl w:ilvl="0">
        <w:start w:val="1"/>
        <w:numFmt w:val="bullet"/>
        <w:lvlText w:val="–"/>
        <w:legacy w:legacy="1" w:legacySpace="0" w:legacyIndent="283"/>
        <w:lvlJc w:val="left"/>
        <w:pPr>
          <w:ind w:left="1701" w:hanging="283"/>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linkStyles/>
  <w:defaultTabStop w:val="708"/>
  <w:hyphenationZone w:val="425"/>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237"/>
    <w:rsid w:val="00E35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keepNext/>
      <w:keepLines/>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40"/>
      <w:ind w:left="2835"/>
      <w:outlineLvl w:val="4"/>
    </w:pPr>
    <w:rPr>
      <w:rFonts w:ascii="Arial" w:hAnsi="Arial"/>
      <w:b/>
      <w:caps/>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ind w:left="2835"/>
    </w:pPr>
  </w:style>
  <w:style w:type="character" w:customStyle="1" w:styleId="EquationCaption">
    <w:name w:val="_Equation Caption"/>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1" w:hanging="283"/>
    </w:pPr>
  </w:style>
  <w:style w:type="paragraph" w:customStyle="1" w:styleId="B3">
    <w:name w:val="B3"/>
    <w:basedOn w:val="B2"/>
    <w:pPr>
      <w:ind w:left="1984"/>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customStyle="1" w:styleId="TH">
    <w:name w:val="TH"/>
    <w:basedOn w:val="Normal"/>
    <w:pPr>
      <w:tabs>
        <w:tab w:val="left" w:pos="2835"/>
      </w:tabs>
      <w:ind w:left="2835" w:hanging="1701"/>
    </w:p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noProof/>
    </w:rPr>
  </w:style>
  <w:style w:type="paragraph" w:styleId="TM2">
    <w:name w:val="toc 2"/>
    <w:basedOn w:val="Normal"/>
    <w:next w:val="Normal"/>
    <w:semiHidden/>
    <w:pPr>
      <w:tabs>
        <w:tab w:val="right" w:leader="underscore" w:pos="9072"/>
      </w:tabs>
      <w:spacing w:before="0"/>
      <w:ind w:left="1985"/>
      <w:jc w:val="left"/>
    </w:pPr>
    <w:rPr>
      <w:i/>
      <w:caps/>
    </w:rPr>
  </w:style>
  <w:style w:type="paragraph" w:styleId="TM3">
    <w:name w:val="toc 3"/>
    <w:basedOn w:val="Normal"/>
    <w:next w:val="Normal"/>
    <w:semiHidden/>
    <w:pPr>
      <w:tabs>
        <w:tab w:val="right" w:leader="underscore" w:pos="9072"/>
      </w:tabs>
      <w:spacing w:before="0"/>
      <w:ind w:left="2268"/>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072"/>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next w:val="Normal"/>
    <w:qFormat/>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caps/>
      <w:sz w:val="32"/>
    </w:rPr>
  </w:style>
  <w:style w:type="paragraph" w:styleId="Textedebulles">
    <w:name w:val="Balloon Text"/>
    <w:basedOn w:val="Normal"/>
    <w:link w:val="TextedebullesCar"/>
    <w:uiPriority w:val="99"/>
    <w:semiHidden/>
    <w:unhideWhenUsed/>
    <w:rsid w:val="00E35237"/>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E352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keepNext/>
      <w:keepLines/>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40"/>
      <w:ind w:left="2835"/>
      <w:outlineLvl w:val="4"/>
    </w:pPr>
    <w:rPr>
      <w:rFonts w:ascii="Arial" w:hAnsi="Arial"/>
      <w:b/>
      <w:caps/>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ind w:left="2835"/>
    </w:pPr>
  </w:style>
  <w:style w:type="character" w:customStyle="1" w:styleId="EquationCaption">
    <w:name w:val="_Equation Caption"/>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1" w:hanging="283"/>
    </w:pPr>
  </w:style>
  <w:style w:type="paragraph" w:customStyle="1" w:styleId="B3">
    <w:name w:val="B3"/>
    <w:basedOn w:val="B2"/>
    <w:pPr>
      <w:ind w:left="1984"/>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customStyle="1" w:styleId="TH">
    <w:name w:val="TH"/>
    <w:basedOn w:val="Normal"/>
    <w:pPr>
      <w:tabs>
        <w:tab w:val="left" w:pos="2835"/>
      </w:tabs>
      <w:ind w:left="2835" w:hanging="1701"/>
    </w:p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noProof/>
    </w:rPr>
  </w:style>
  <w:style w:type="paragraph" w:styleId="TM2">
    <w:name w:val="toc 2"/>
    <w:basedOn w:val="Normal"/>
    <w:next w:val="Normal"/>
    <w:semiHidden/>
    <w:pPr>
      <w:tabs>
        <w:tab w:val="right" w:leader="underscore" w:pos="9072"/>
      </w:tabs>
      <w:spacing w:before="0"/>
      <w:ind w:left="1985"/>
      <w:jc w:val="left"/>
    </w:pPr>
    <w:rPr>
      <w:i/>
      <w:caps/>
    </w:rPr>
  </w:style>
  <w:style w:type="paragraph" w:styleId="TM3">
    <w:name w:val="toc 3"/>
    <w:basedOn w:val="Normal"/>
    <w:next w:val="Normal"/>
    <w:semiHidden/>
    <w:pPr>
      <w:tabs>
        <w:tab w:val="right" w:leader="underscore" w:pos="9072"/>
      </w:tabs>
      <w:spacing w:before="0"/>
      <w:ind w:left="2268"/>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072"/>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next w:val="Normal"/>
    <w:qFormat/>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caps/>
      <w:sz w:val="32"/>
    </w:rPr>
  </w:style>
  <w:style w:type="paragraph" w:styleId="Textedebulles">
    <w:name w:val="Balloon Text"/>
    <w:basedOn w:val="Normal"/>
    <w:link w:val="TextedebullesCar"/>
    <w:uiPriority w:val="99"/>
    <w:semiHidden/>
    <w:unhideWhenUsed/>
    <w:rsid w:val="00E35237"/>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E352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eles\sop.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sop.dot</Template>
  <TotalTime>0</TotalTime>
  <Pages>3</Pages>
  <Words>948</Words>
  <Characters>5217</Characters>
  <Application>Microsoft Office Word</Application>
  <DocSecurity>0</DocSecurity>
  <Lines>43</Lines>
  <Paragraphs>12</Paragraphs>
  <ScaleCrop>false</ScaleCrop>
  <Company>Dell Computer Corporation</Company>
  <LinksUpToDate>false</LinksUpToDate>
  <CharactersWithSpaces>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dc:title>
  <dc:subject/>
  <dc:creator>Dr Georges MARTIN, SUNNIKAN Consulting</dc:creator>
  <cp:keywords/>
  <dc:description/>
  <cp:lastModifiedBy>Pierre JOUBERT</cp:lastModifiedBy>
  <cp:revision>2</cp:revision>
  <cp:lastPrinted>1997-04-01T13:24:00Z</cp:lastPrinted>
  <dcterms:created xsi:type="dcterms:W3CDTF">2012-08-30T09:15:00Z</dcterms:created>
  <dcterms:modified xsi:type="dcterms:W3CDTF">2012-08-30T09:15:00Z</dcterms:modified>
</cp:coreProperties>
</file>