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A5D39D" w14:textId="77777777" w:rsidR="009F3643" w:rsidRPr="00CF439B" w:rsidRDefault="009F3643">
      <w:pPr>
        <w:jc w:val="center"/>
        <w:rPr>
          <w:rFonts w:asciiTheme="minorHAnsi" w:hAnsiTheme="minorHAnsi" w:cstheme="minorHAnsi"/>
          <w:b/>
          <w:sz w:val="28"/>
        </w:rPr>
      </w:pPr>
      <w:r w:rsidRPr="00CF439B">
        <w:rPr>
          <w:rFonts w:asciiTheme="minorHAnsi" w:hAnsiTheme="minorHAnsi" w:cstheme="minorHAnsi"/>
          <w:b/>
          <w:sz w:val="28"/>
        </w:rPr>
        <w:t xml:space="preserve">Check-list concernant les locaux de stockage </w:t>
      </w:r>
      <w:r w:rsidRPr="00CF439B">
        <w:rPr>
          <w:rFonts w:asciiTheme="minorHAnsi" w:hAnsiTheme="minorHAnsi" w:cstheme="minorHAnsi"/>
          <w:b/>
          <w:sz w:val="28"/>
        </w:rPr>
        <w:br/>
        <w:t>des Produits pour Essais Cliniques</w:t>
      </w:r>
    </w:p>
    <w:p w14:paraId="71A5D39E" w14:textId="77777777" w:rsidR="000F59E2" w:rsidRPr="00CF439B" w:rsidRDefault="000F59E2">
      <w:pPr>
        <w:jc w:val="center"/>
        <w:rPr>
          <w:rFonts w:asciiTheme="minorHAnsi" w:hAnsiTheme="minorHAnsi" w:cstheme="minorHAnsi"/>
          <w:b/>
          <w:sz w:val="28"/>
        </w:rPr>
      </w:pPr>
    </w:p>
    <w:p w14:paraId="71A5D39F" w14:textId="77777777" w:rsidR="000F59E2" w:rsidRPr="00CF439B" w:rsidRDefault="000F59E2">
      <w:pPr>
        <w:jc w:val="center"/>
        <w:rPr>
          <w:rFonts w:asciiTheme="minorHAnsi" w:hAnsiTheme="minorHAnsi" w:cstheme="minorHAnsi"/>
          <w:b/>
          <w:i/>
          <w:color w:val="FF0000"/>
          <w:sz w:val="24"/>
          <w:szCs w:val="24"/>
        </w:rPr>
      </w:pPr>
      <w:proofErr w:type="spellStart"/>
      <w:r w:rsidRPr="00CF439B">
        <w:rPr>
          <w:rFonts w:asciiTheme="minorHAnsi" w:hAnsiTheme="minorHAnsi" w:cstheme="minorHAnsi"/>
          <w:b/>
          <w:i/>
          <w:color w:val="FF0000"/>
          <w:sz w:val="24"/>
          <w:szCs w:val="24"/>
        </w:rPr>
        <w:t>A</w:t>
      </w:r>
      <w:proofErr w:type="spellEnd"/>
      <w:r w:rsidRPr="00CF439B">
        <w:rPr>
          <w:rFonts w:asciiTheme="minorHAnsi" w:hAnsiTheme="minorHAnsi" w:cstheme="minorHAnsi"/>
          <w:b/>
          <w:i/>
          <w:color w:val="FF0000"/>
          <w:sz w:val="24"/>
          <w:szCs w:val="24"/>
        </w:rPr>
        <w:t xml:space="preserve"> mettre à jour avec BPF (décision </w:t>
      </w:r>
      <w:smartTag w:uri="urn:schemas-microsoft-com:office:smarttags" w:element="date">
        <w:smartTagPr>
          <w:attr w:name="Year" w:val="2006"/>
          <w:attr w:name="Day" w:val="26"/>
          <w:attr w:name="Month" w:val="5"/>
          <w:attr w:name="ls" w:val="trans"/>
        </w:smartTagPr>
        <w:r w:rsidRPr="00CF439B">
          <w:rPr>
            <w:rFonts w:asciiTheme="minorHAnsi" w:hAnsiTheme="minorHAnsi" w:cstheme="minorHAnsi"/>
            <w:b/>
            <w:i/>
            <w:color w:val="FF0000"/>
            <w:sz w:val="24"/>
            <w:szCs w:val="24"/>
          </w:rPr>
          <w:t>26 mai 2006</w:t>
        </w:r>
      </w:smartTag>
      <w:r w:rsidRPr="00CF439B">
        <w:rPr>
          <w:rFonts w:asciiTheme="minorHAnsi" w:hAnsiTheme="minorHAnsi" w:cstheme="minorHAnsi"/>
          <w:b/>
          <w:i/>
          <w:color w:val="FF0000"/>
          <w:sz w:val="24"/>
          <w:szCs w:val="24"/>
        </w:rPr>
        <w:t xml:space="preserve">) (AV, </w:t>
      </w:r>
      <w:smartTag w:uri="urn:schemas-microsoft-com:office:smarttags" w:element="date">
        <w:smartTagPr>
          <w:attr w:name="Year" w:val="07"/>
          <w:attr w:name="Day" w:val="22"/>
          <w:attr w:name="Month" w:val="2"/>
          <w:attr w:name="ls" w:val="trans"/>
        </w:smartTagPr>
        <w:r w:rsidRPr="00CF439B">
          <w:rPr>
            <w:rFonts w:asciiTheme="minorHAnsi" w:hAnsiTheme="minorHAnsi" w:cstheme="minorHAnsi"/>
            <w:b/>
            <w:i/>
            <w:color w:val="FF0000"/>
            <w:sz w:val="24"/>
            <w:szCs w:val="24"/>
          </w:rPr>
          <w:t>22/02/07</w:t>
        </w:r>
      </w:smartTag>
      <w:r w:rsidRPr="00CF439B">
        <w:rPr>
          <w:rFonts w:asciiTheme="minorHAnsi" w:hAnsiTheme="minorHAnsi" w:cstheme="minorHAnsi"/>
          <w:b/>
          <w:i/>
          <w:color w:val="FF0000"/>
          <w:sz w:val="24"/>
          <w:szCs w:val="24"/>
        </w:rPr>
        <w:t xml:space="preserve">) </w:t>
      </w:r>
    </w:p>
    <w:p w14:paraId="71A5D3A0" w14:textId="77777777" w:rsidR="009F3643" w:rsidRPr="00CF439B" w:rsidRDefault="009F3643">
      <w:pPr>
        <w:jc w:val="center"/>
        <w:rPr>
          <w:rFonts w:asciiTheme="minorHAnsi" w:hAnsiTheme="minorHAnsi" w:cstheme="minorHAnsi"/>
          <w:b/>
          <w:sz w:val="28"/>
        </w:rPr>
      </w:pPr>
    </w:p>
    <w:p w14:paraId="71A5D3A1" w14:textId="77777777" w:rsidR="009F3643" w:rsidRPr="00CF439B" w:rsidRDefault="009F3643">
      <w:pPr>
        <w:jc w:val="center"/>
        <w:rPr>
          <w:rFonts w:asciiTheme="minorHAnsi" w:hAnsiTheme="minorHAnsi" w:cstheme="minorHAnsi"/>
          <w:b/>
          <w:i/>
          <w:sz w:val="24"/>
          <w:u w:val="single"/>
        </w:rPr>
      </w:pPr>
      <w:r w:rsidRPr="00CF439B">
        <w:rPr>
          <w:rFonts w:asciiTheme="minorHAnsi" w:hAnsiTheme="minorHAnsi" w:cstheme="minorHAnsi"/>
          <w:b/>
          <w:i/>
          <w:sz w:val="24"/>
        </w:rPr>
        <w:t xml:space="preserve">Permet une conformité par rapport aux référentiels </w:t>
      </w:r>
      <w:r w:rsidRPr="00CF439B">
        <w:rPr>
          <w:rFonts w:asciiTheme="minorHAnsi" w:hAnsiTheme="minorHAnsi" w:cstheme="minorHAnsi"/>
          <w:b/>
          <w:i/>
          <w:sz w:val="24"/>
          <w:u w:val="single"/>
        </w:rPr>
        <w:t xml:space="preserve">spécifiques de la Recherche Biomédicale (cette check </w:t>
      </w:r>
      <w:proofErr w:type="spellStart"/>
      <w:r w:rsidRPr="00CF439B">
        <w:rPr>
          <w:rFonts w:asciiTheme="minorHAnsi" w:hAnsiTheme="minorHAnsi" w:cstheme="minorHAnsi"/>
          <w:b/>
          <w:i/>
          <w:sz w:val="24"/>
          <w:u w:val="single"/>
        </w:rPr>
        <w:t>list</w:t>
      </w:r>
      <w:proofErr w:type="spellEnd"/>
      <w:r w:rsidRPr="00CF439B">
        <w:rPr>
          <w:rFonts w:asciiTheme="minorHAnsi" w:hAnsiTheme="minorHAnsi" w:cstheme="minorHAnsi"/>
          <w:b/>
          <w:i/>
          <w:sz w:val="24"/>
          <w:u w:val="single"/>
        </w:rPr>
        <w:t xml:space="preserve"> ne se réfère pas aux normes et autres référentiels concernant la sécurité des zones de stockage)</w:t>
      </w:r>
    </w:p>
    <w:p w14:paraId="71A5D3A2" w14:textId="77777777" w:rsidR="009F3643" w:rsidRPr="00CF439B" w:rsidRDefault="009F3643">
      <w:pPr>
        <w:jc w:val="center"/>
        <w:rPr>
          <w:rFonts w:asciiTheme="minorHAnsi" w:hAnsiTheme="minorHAnsi" w:cstheme="minorHAnsi"/>
          <w:b/>
          <w:i/>
          <w:sz w:val="24"/>
          <w:u w:val="single"/>
        </w:rPr>
      </w:pPr>
    </w:p>
    <w:tbl>
      <w:tblPr>
        <w:tblW w:w="4775" w:type="pct"/>
        <w:tblLayout w:type="fixed"/>
        <w:tblCellMar>
          <w:left w:w="70" w:type="dxa"/>
          <w:right w:w="70" w:type="dxa"/>
        </w:tblCellMar>
        <w:tblLook w:val="0000" w:firstRow="0" w:lastRow="0" w:firstColumn="0" w:lastColumn="0" w:noHBand="0" w:noVBand="0"/>
      </w:tblPr>
      <w:tblGrid>
        <w:gridCol w:w="6692"/>
        <w:gridCol w:w="6682"/>
      </w:tblGrid>
      <w:tr w:rsidR="009F3643" w:rsidRPr="00CF439B" w14:paraId="71A5D3AF" w14:textId="77777777" w:rsidTr="00CF439B">
        <w:trPr>
          <w:cantSplit/>
          <w:trHeight w:val="610"/>
        </w:trPr>
        <w:tc>
          <w:tcPr>
            <w:tcW w:w="6692" w:type="dxa"/>
          </w:tcPr>
          <w:p w14:paraId="71A5D3A3" w14:textId="77777777" w:rsidR="009F3643" w:rsidRPr="00CF439B" w:rsidRDefault="009F3643">
            <w:pPr>
              <w:rPr>
                <w:rFonts w:asciiTheme="minorHAnsi" w:hAnsiTheme="minorHAnsi" w:cstheme="minorHAnsi"/>
                <w:sz w:val="20"/>
              </w:rPr>
            </w:pPr>
            <w:bookmarkStart w:id="0" w:name="_Hlt506109851"/>
            <w:r w:rsidRPr="00CF439B">
              <w:rPr>
                <w:rFonts w:asciiTheme="minorHAnsi" w:hAnsiTheme="minorHAnsi" w:cstheme="minorHAnsi"/>
                <w:sz w:val="20"/>
              </w:rPr>
              <w:t xml:space="preserve">Cette check </w:t>
            </w:r>
            <w:proofErr w:type="spellStart"/>
            <w:r w:rsidRPr="00CF439B">
              <w:rPr>
                <w:rFonts w:asciiTheme="minorHAnsi" w:hAnsiTheme="minorHAnsi" w:cstheme="minorHAnsi"/>
                <w:sz w:val="20"/>
              </w:rPr>
              <w:t>list</w:t>
            </w:r>
            <w:proofErr w:type="spellEnd"/>
            <w:r w:rsidRPr="00CF439B">
              <w:rPr>
                <w:rFonts w:asciiTheme="minorHAnsi" w:hAnsiTheme="minorHAnsi" w:cstheme="minorHAnsi"/>
                <w:sz w:val="20"/>
              </w:rPr>
              <w:t xml:space="preserve"> comprend :</w:t>
            </w:r>
          </w:p>
          <w:p w14:paraId="71A5D3A4" w14:textId="77777777" w:rsidR="009F3643" w:rsidRPr="00CF439B" w:rsidRDefault="009F3643">
            <w:pPr>
              <w:numPr>
                <w:ilvl w:val="0"/>
                <w:numId w:val="5"/>
              </w:numPr>
              <w:rPr>
                <w:rFonts w:asciiTheme="minorHAnsi" w:hAnsiTheme="minorHAnsi" w:cstheme="minorHAnsi"/>
                <w:sz w:val="20"/>
              </w:rPr>
            </w:pPr>
            <w:proofErr w:type="gramStart"/>
            <w:r w:rsidRPr="00CF439B">
              <w:rPr>
                <w:rFonts w:asciiTheme="minorHAnsi" w:hAnsiTheme="minorHAnsi" w:cstheme="minorHAnsi"/>
                <w:sz w:val="20"/>
              </w:rPr>
              <w:t>PEC stockés</w:t>
            </w:r>
            <w:proofErr w:type="gramEnd"/>
            <w:r w:rsidRPr="00CF439B">
              <w:rPr>
                <w:rFonts w:asciiTheme="minorHAnsi" w:hAnsiTheme="minorHAnsi" w:cstheme="minorHAnsi"/>
                <w:sz w:val="20"/>
              </w:rPr>
              <w:t>,</w:t>
            </w:r>
          </w:p>
          <w:p w14:paraId="71A5D3A5" w14:textId="77777777" w:rsidR="009F3643" w:rsidRPr="00CF439B" w:rsidRDefault="009F3643">
            <w:pPr>
              <w:numPr>
                <w:ilvl w:val="0"/>
                <w:numId w:val="5"/>
              </w:numPr>
              <w:rPr>
                <w:rFonts w:asciiTheme="minorHAnsi" w:hAnsiTheme="minorHAnsi" w:cstheme="minorHAnsi"/>
                <w:sz w:val="20"/>
              </w:rPr>
            </w:pPr>
            <w:r w:rsidRPr="00CF439B">
              <w:rPr>
                <w:rFonts w:asciiTheme="minorHAnsi" w:hAnsiTheme="minorHAnsi" w:cstheme="minorHAnsi"/>
                <w:sz w:val="20"/>
              </w:rPr>
              <w:t>en attente de libération</w:t>
            </w:r>
          </w:p>
          <w:p w14:paraId="71A5D3A6" w14:textId="77777777" w:rsidR="009F3643" w:rsidRPr="00CF439B" w:rsidRDefault="009F3643">
            <w:pPr>
              <w:numPr>
                <w:ilvl w:val="0"/>
                <w:numId w:val="5"/>
              </w:numPr>
              <w:rPr>
                <w:rFonts w:asciiTheme="minorHAnsi" w:hAnsiTheme="minorHAnsi" w:cstheme="minorHAnsi"/>
                <w:sz w:val="20"/>
              </w:rPr>
            </w:pPr>
            <w:r w:rsidRPr="00CF439B">
              <w:rPr>
                <w:rFonts w:asciiTheme="minorHAnsi" w:hAnsiTheme="minorHAnsi" w:cstheme="minorHAnsi"/>
                <w:sz w:val="20"/>
              </w:rPr>
              <w:t>en attente de distribution,</w:t>
            </w:r>
          </w:p>
          <w:p w14:paraId="71A5D3A7" w14:textId="77777777" w:rsidR="009F3643" w:rsidRPr="00CF439B" w:rsidRDefault="009F3643">
            <w:pPr>
              <w:numPr>
                <w:ilvl w:val="0"/>
                <w:numId w:val="5"/>
              </w:numPr>
              <w:rPr>
                <w:rFonts w:asciiTheme="minorHAnsi" w:hAnsiTheme="minorHAnsi" w:cstheme="minorHAnsi"/>
                <w:sz w:val="20"/>
              </w:rPr>
            </w:pPr>
            <w:r w:rsidRPr="00CF439B">
              <w:rPr>
                <w:rFonts w:asciiTheme="minorHAnsi" w:hAnsiTheme="minorHAnsi" w:cstheme="minorHAnsi"/>
                <w:sz w:val="20"/>
              </w:rPr>
              <w:t xml:space="preserve">en attente de destruction. </w:t>
            </w:r>
          </w:p>
          <w:p w14:paraId="71A5D3A8" w14:textId="77777777" w:rsidR="009F3643" w:rsidRPr="00CF439B" w:rsidRDefault="009F3643">
            <w:pPr>
              <w:jc w:val="center"/>
              <w:rPr>
                <w:rFonts w:asciiTheme="minorHAnsi" w:hAnsiTheme="minorHAnsi" w:cstheme="minorHAnsi"/>
                <w:b/>
                <w:i/>
                <w:sz w:val="20"/>
                <w:u w:val="single"/>
              </w:rPr>
            </w:pPr>
          </w:p>
        </w:tc>
        <w:tc>
          <w:tcPr>
            <w:tcW w:w="6682" w:type="dxa"/>
          </w:tcPr>
          <w:p w14:paraId="71A5D3A9" w14:textId="77777777" w:rsidR="009F3643" w:rsidRPr="00CF439B" w:rsidRDefault="009F3643">
            <w:pPr>
              <w:rPr>
                <w:rFonts w:asciiTheme="minorHAnsi" w:hAnsiTheme="minorHAnsi" w:cstheme="minorHAnsi"/>
                <w:sz w:val="20"/>
              </w:rPr>
            </w:pPr>
            <w:r w:rsidRPr="00CF439B">
              <w:rPr>
                <w:rFonts w:asciiTheme="minorHAnsi" w:hAnsiTheme="minorHAnsi" w:cstheme="minorHAnsi"/>
                <w:sz w:val="20"/>
              </w:rPr>
              <w:t xml:space="preserve">Cette Check </w:t>
            </w:r>
            <w:proofErr w:type="spellStart"/>
            <w:r w:rsidRPr="00CF439B">
              <w:rPr>
                <w:rFonts w:asciiTheme="minorHAnsi" w:hAnsiTheme="minorHAnsi" w:cstheme="minorHAnsi"/>
                <w:sz w:val="20"/>
              </w:rPr>
              <w:t>list</w:t>
            </w:r>
            <w:proofErr w:type="spellEnd"/>
            <w:r w:rsidRPr="00CF439B">
              <w:rPr>
                <w:rFonts w:asciiTheme="minorHAnsi" w:hAnsiTheme="minorHAnsi" w:cstheme="minorHAnsi"/>
                <w:sz w:val="20"/>
              </w:rPr>
              <w:t xml:space="preserve"> ne comprend pas :</w:t>
            </w:r>
          </w:p>
          <w:p w14:paraId="71A5D3AA" w14:textId="77777777" w:rsidR="009F3643" w:rsidRPr="00CF439B" w:rsidRDefault="009F3643">
            <w:pPr>
              <w:numPr>
                <w:ilvl w:val="0"/>
                <w:numId w:val="4"/>
              </w:numPr>
              <w:rPr>
                <w:rFonts w:asciiTheme="minorHAnsi" w:hAnsiTheme="minorHAnsi" w:cstheme="minorHAnsi"/>
                <w:sz w:val="20"/>
              </w:rPr>
            </w:pPr>
            <w:r w:rsidRPr="00CF439B">
              <w:rPr>
                <w:rFonts w:asciiTheme="minorHAnsi" w:hAnsiTheme="minorHAnsi" w:cstheme="minorHAnsi"/>
                <w:sz w:val="20"/>
              </w:rPr>
              <w:t>les Matières Premières,</w:t>
            </w:r>
          </w:p>
          <w:p w14:paraId="71A5D3AB" w14:textId="77777777" w:rsidR="009F3643" w:rsidRPr="00CF439B" w:rsidRDefault="009F3643">
            <w:pPr>
              <w:numPr>
                <w:ilvl w:val="0"/>
                <w:numId w:val="4"/>
              </w:numPr>
              <w:rPr>
                <w:rFonts w:asciiTheme="minorHAnsi" w:hAnsiTheme="minorHAnsi" w:cstheme="minorHAnsi"/>
                <w:sz w:val="20"/>
              </w:rPr>
            </w:pPr>
            <w:r w:rsidRPr="00CF439B">
              <w:rPr>
                <w:rFonts w:asciiTheme="minorHAnsi" w:hAnsiTheme="minorHAnsi" w:cstheme="minorHAnsi"/>
                <w:sz w:val="20"/>
              </w:rPr>
              <w:t xml:space="preserve"> les articles de Conditionnement,</w:t>
            </w:r>
          </w:p>
          <w:p w14:paraId="71A5D3AC" w14:textId="77777777" w:rsidR="009F3643" w:rsidRPr="00CF439B" w:rsidRDefault="009F3643">
            <w:pPr>
              <w:numPr>
                <w:ilvl w:val="0"/>
                <w:numId w:val="4"/>
              </w:numPr>
              <w:rPr>
                <w:rFonts w:asciiTheme="minorHAnsi" w:hAnsiTheme="minorHAnsi" w:cstheme="minorHAnsi"/>
                <w:sz w:val="20"/>
              </w:rPr>
            </w:pPr>
            <w:r w:rsidRPr="00CF439B">
              <w:rPr>
                <w:rFonts w:asciiTheme="minorHAnsi" w:hAnsiTheme="minorHAnsi" w:cstheme="minorHAnsi"/>
                <w:sz w:val="20"/>
              </w:rPr>
              <w:t xml:space="preserve"> les échantillons de PEC,</w:t>
            </w:r>
          </w:p>
          <w:p w14:paraId="71A5D3AD" w14:textId="77777777" w:rsidR="009F3643" w:rsidRPr="00CF439B" w:rsidRDefault="009F3643">
            <w:pPr>
              <w:rPr>
                <w:rFonts w:asciiTheme="minorHAnsi" w:hAnsiTheme="minorHAnsi" w:cstheme="minorHAnsi"/>
                <w:sz w:val="20"/>
              </w:rPr>
            </w:pPr>
          </w:p>
          <w:p w14:paraId="71A5D3AE" w14:textId="77777777" w:rsidR="009F3643" w:rsidRPr="00CF439B" w:rsidRDefault="009F3643">
            <w:pPr>
              <w:jc w:val="center"/>
              <w:rPr>
                <w:rFonts w:asciiTheme="minorHAnsi" w:hAnsiTheme="minorHAnsi" w:cstheme="minorHAnsi"/>
                <w:b/>
                <w:i/>
                <w:sz w:val="20"/>
                <w:u w:val="single"/>
              </w:rPr>
            </w:pPr>
          </w:p>
        </w:tc>
      </w:tr>
      <w:bookmarkEnd w:id="0"/>
    </w:tbl>
    <w:p w14:paraId="657A8C5B" w14:textId="4CAFF7BA" w:rsidR="00CF439B" w:rsidRDefault="00CF439B"/>
    <w:tbl>
      <w:tblPr>
        <w:tblW w:w="500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79"/>
        <w:gridCol w:w="4286"/>
        <w:gridCol w:w="2683"/>
        <w:gridCol w:w="6157"/>
      </w:tblGrid>
      <w:tr w:rsidR="009F3643" w:rsidRPr="00CF439B" w14:paraId="71A5D3B4" w14:textId="77777777" w:rsidTr="00CF439B">
        <w:trPr>
          <w:cantSplit/>
          <w:tblHeader/>
        </w:trPr>
        <w:tc>
          <w:tcPr>
            <w:tcW w:w="878" w:type="dxa"/>
            <w:shd w:val="clear" w:color="auto" w:fill="FFFFCC"/>
          </w:tcPr>
          <w:p w14:paraId="71A5D3B0" w14:textId="528C252A" w:rsidR="009F3643" w:rsidRPr="00CF439B" w:rsidRDefault="009F3643">
            <w:pPr>
              <w:rPr>
                <w:rFonts w:asciiTheme="minorHAnsi" w:hAnsiTheme="minorHAnsi" w:cstheme="minorHAnsi"/>
                <w:b/>
                <w:sz w:val="20"/>
              </w:rPr>
            </w:pPr>
            <w:bookmarkStart w:id="1" w:name="_GoBack"/>
          </w:p>
        </w:tc>
        <w:tc>
          <w:tcPr>
            <w:tcW w:w="4286" w:type="dxa"/>
            <w:shd w:val="clear" w:color="auto" w:fill="FFFFCC"/>
          </w:tcPr>
          <w:p w14:paraId="71A5D3B1" w14:textId="77777777" w:rsidR="009F3643" w:rsidRPr="00CF439B" w:rsidRDefault="009F3643">
            <w:pPr>
              <w:rPr>
                <w:rFonts w:asciiTheme="minorHAnsi" w:hAnsiTheme="minorHAnsi" w:cstheme="minorHAnsi"/>
                <w:b/>
                <w:sz w:val="20"/>
              </w:rPr>
            </w:pPr>
          </w:p>
        </w:tc>
        <w:tc>
          <w:tcPr>
            <w:tcW w:w="2683" w:type="dxa"/>
            <w:shd w:val="clear" w:color="auto" w:fill="FFFFCC"/>
          </w:tcPr>
          <w:p w14:paraId="71A5D3B2"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t>Référentiels / Normes</w:t>
            </w:r>
          </w:p>
        </w:tc>
        <w:tc>
          <w:tcPr>
            <w:tcW w:w="6157" w:type="dxa"/>
            <w:shd w:val="clear" w:color="auto" w:fill="FFFFCC"/>
          </w:tcPr>
          <w:p w14:paraId="71A5D3B3"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t>Commentaires</w:t>
            </w:r>
          </w:p>
        </w:tc>
      </w:tr>
      <w:bookmarkEnd w:id="1"/>
      <w:tr w:rsidR="009F3643" w:rsidRPr="00CF439B" w14:paraId="71A5D3BA" w14:textId="77777777" w:rsidTr="00CF439B">
        <w:trPr>
          <w:cantSplit/>
        </w:trPr>
        <w:tc>
          <w:tcPr>
            <w:tcW w:w="878" w:type="dxa"/>
            <w:vAlign w:val="center"/>
          </w:tcPr>
          <w:p w14:paraId="71A5D3B5"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sym w:font="Wingdings" w:char="F06F"/>
            </w:r>
          </w:p>
        </w:tc>
        <w:tc>
          <w:tcPr>
            <w:tcW w:w="4286" w:type="dxa"/>
          </w:tcPr>
          <w:p w14:paraId="71A5D3B7" w14:textId="0AAC0FEB" w:rsidR="009F3643" w:rsidRPr="00CF439B" w:rsidRDefault="009F3643" w:rsidP="00CF439B">
            <w:pPr>
              <w:jc w:val="both"/>
              <w:rPr>
                <w:rFonts w:asciiTheme="minorHAnsi" w:hAnsiTheme="minorHAnsi" w:cstheme="minorHAnsi"/>
                <w:b/>
                <w:sz w:val="20"/>
              </w:rPr>
            </w:pPr>
            <w:r w:rsidRPr="00CF439B">
              <w:rPr>
                <w:rFonts w:asciiTheme="minorHAnsi" w:hAnsiTheme="minorHAnsi" w:cstheme="minorHAnsi"/>
                <w:sz w:val="20"/>
              </w:rPr>
              <w:t>L'environnement ne présente pas de risque de contamination pour les produits.</w:t>
            </w:r>
          </w:p>
        </w:tc>
        <w:tc>
          <w:tcPr>
            <w:tcW w:w="2683" w:type="dxa"/>
          </w:tcPr>
          <w:p w14:paraId="71A5D3B8" w14:textId="77777777" w:rsidR="009F3643" w:rsidRPr="00CF439B" w:rsidRDefault="009F3643">
            <w:pPr>
              <w:rPr>
                <w:rFonts w:asciiTheme="minorHAnsi" w:hAnsiTheme="minorHAnsi" w:cstheme="minorHAnsi"/>
                <w:b/>
                <w:sz w:val="20"/>
              </w:rPr>
            </w:pPr>
            <w:r w:rsidRPr="00CF439B">
              <w:rPr>
                <w:rFonts w:asciiTheme="minorHAnsi" w:hAnsiTheme="minorHAnsi" w:cstheme="minorHAnsi"/>
                <w:b/>
                <w:sz w:val="20"/>
              </w:rPr>
              <w:t>Bonnes Pratiques de Fabrication 1998 ("locaux, généralités")</w:t>
            </w:r>
          </w:p>
        </w:tc>
        <w:tc>
          <w:tcPr>
            <w:tcW w:w="6157" w:type="dxa"/>
          </w:tcPr>
          <w:p w14:paraId="71A5D3B9" w14:textId="77777777" w:rsidR="009F3643" w:rsidRPr="00CF439B" w:rsidRDefault="009F3643">
            <w:pPr>
              <w:rPr>
                <w:rFonts w:asciiTheme="minorHAnsi" w:hAnsiTheme="minorHAnsi" w:cstheme="minorHAnsi"/>
                <w:b/>
                <w:sz w:val="20"/>
              </w:rPr>
            </w:pPr>
          </w:p>
        </w:tc>
      </w:tr>
      <w:tr w:rsidR="009F3643" w:rsidRPr="00CF439B" w14:paraId="71A5D3C0" w14:textId="77777777" w:rsidTr="00CF439B">
        <w:trPr>
          <w:cantSplit/>
        </w:trPr>
        <w:tc>
          <w:tcPr>
            <w:tcW w:w="878" w:type="dxa"/>
            <w:vAlign w:val="center"/>
          </w:tcPr>
          <w:p w14:paraId="71A5D3BB"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sym w:font="Wingdings" w:char="F06F"/>
            </w:r>
          </w:p>
        </w:tc>
        <w:tc>
          <w:tcPr>
            <w:tcW w:w="4286" w:type="dxa"/>
          </w:tcPr>
          <w:p w14:paraId="71A5D3BD" w14:textId="05EB6412" w:rsidR="009F3643" w:rsidRPr="00CF439B" w:rsidRDefault="009F3643" w:rsidP="00CF439B">
            <w:pPr>
              <w:jc w:val="both"/>
              <w:rPr>
                <w:rFonts w:asciiTheme="minorHAnsi" w:hAnsiTheme="minorHAnsi" w:cstheme="minorHAnsi"/>
                <w:b/>
                <w:sz w:val="20"/>
              </w:rPr>
            </w:pPr>
            <w:r w:rsidRPr="00CF439B">
              <w:rPr>
                <w:rFonts w:asciiTheme="minorHAnsi" w:hAnsiTheme="minorHAnsi" w:cstheme="minorHAnsi"/>
                <w:sz w:val="20"/>
              </w:rPr>
              <w:t>Les réparations et l'entretien ne doivent présenter aucun risque pour la qualité des produits.</w:t>
            </w:r>
          </w:p>
        </w:tc>
        <w:tc>
          <w:tcPr>
            <w:tcW w:w="2683" w:type="dxa"/>
            <w:vAlign w:val="center"/>
          </w:tcPr>
          <w:p w14:paraId="71A5D3BE" w14:textId="77777777" w:rsidR="009F3643" w:rsidRPr="00CF439B" w:rsidRDefault="009F3643">
            <w:pPr>
              <w:jc w:val="center"/>
              <w:rPr>
                <w:rFonts w:asciiTheme="minorHAnsi" w:hAnsiTheme="minorHAnsi" w:cstheme="minorHAnsi"/>
                <w:b/>
                <w:i/>
                <w:sz w:val="20"/>
              </w:rPr>
            </w:pPr>
            <w:r w:rsidRPr="00CF439B">
              <w:rPr>
                <w:rFonts w:asciiTheme="minorHAnsi" w:hAnsiTheme="minorHAnsi" w:cstheme="minorHAnsi"/>
                <w:b/>
                <w:i/>
                <w:sz w:val="20"/>
              </w:rPr>
              <w:t>idem</w:t>
            </w:r>
          </w:p>
        </w:tc>
        <w:tc>
          <w:tcPr>
            <w:tcW w:w="6157" w:type="dxa"/>
          </w:tcPr>
          <w:p w14:paraId="71A5D3BF" w14:textId="77777777" w:rsidR="009F3643" w:rsidRPr="00CF439B" w:rsidRDefault="009F3643">
            <w:pPr>
              <w:rPr>
                <w:rFonts w:asciiTheme="minorHAnsi" w:hAnsiTheme="minorHAnsi" w:cstheme="minorHAnsi"/>
                <w:b/>
                <w:sz w:val="20"/>
              </w:rPr>
            </w:pPr>
          </w:p>
        </w:tc>
      </w:tr>
      <w:tr w:rsidR="009F3643" w:rsidRPr="00CF439B" w14:paraId="71A5D3C6" w14:textId="77777777" w:rsidTr="00CF439B">
        <w:trPr>
          <w:cantSplit/>
        </w:trPr>
        <w:tc>
          <w:tcPr>
            <w:tcW w:w="878" w:type="dxa"/>
            <w:vAlign w:val="center"/>
          </w:tcPr>
          <w:p w14:paraId="71A5D3C1"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sym w:font="Wingdings" w:char="F06F"/>
            </w:r>
          </w:p>
        </w:tc>
        <w:tc>
          <w:tcPr>
            <w:tcW w:w="4286" w:type="dxa"/>
          </w:tcPr>
          <w:p w14:paraId="71A5D3C3" w14:textId="326AB4C5" w:rsidR="009F3643" w:rsidRPr="00CF439B" w:rsidRDefault="009F3643" w:rsidP="00CF439B">
            <w:pPr>
              <w:jc w:val="both"/>
              <w:rPr>
                <w:rFonts w:asciiTheme="minorHAnsi" w:hAnsiTheme="minorHAnsi" w:cstheme="minorHAnsi"/>
                <w:b/>
                <w:sz w:val="20"/>
              </w:rPr>
            </w:pPr>
            <w:r w:rsidRPr="00CF439B">
              <w:rPr>
                <w:rFonts w:asciiTheme="minorHAnsi" w:hAnsiTheme="minorHAnsi" w:cstheme="minorHAnsi"/>
                <w:sz w:val="20"/>
              </w:rPr>
              <w:t>L'éclairage, la température, l'humidité et la ventilation doivent être appropriés afin de ne pas affecter, directement ou indirectement, les médicaments durant leur stockage.</w:t>
            </w:r>
          </w:p>
        </w:tc>
        <w:tc>
          <w:tcPr>
            <w:tcW w:w="2683" w:type="dxa"/>
            <w:vAlign w:val="center"/>
          </w:tcPr>
          <w:p w14:paraId="71A5D3C4"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i/>
                <w:sz w:val="20"/>
              </w:rPr>
              <w:t>idem</w:t>
            </w:r>
          </w:p>
        </w:tc>
        <w:tc>
          <w:tcPr>
            <w:tcW w:w="6157" w:type="dxa"/>
          </w:tcPr>
          <w:p w14:paraId="71A5D3C5" w14:textId="77777777" w:rsidR="009F3643" w:rsidRPr="00CF439B" w:rsidRDefault="009F3643">
            <w:pPr>
              <w:rPr>
                <w:rFonts w:asciiTheme="minorHAnsi" w:hAnsiTheme="minorHAnsi" w:cstheme="minorHAnsi"/>
                <w:b/>
                <w:sz w:val="20"/>
              </w:rPr>
            </w:pPr>
          </w:p>
        </w:tc>
      </w:tr>
      <w:tr w:rsidR="009F3643" w:rsidRPr="00CF439B" w14:paraId="71A5D3CC" w14:textId="77777777" w:rsidTr="00CF439B">
        <w:trPr>
          <w:cantSplit/>
        </w:trPr>
        <w:tc>
          <w:tcPr>
            <w:tcW w:w="878" w:type="dxa"/>
            <w:vAlign w:val="center"/>
          </w:tcPr>
          <w:p w14:paraId="71A5D3C7"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sym w:font="Wingdings" w:char="F06F"/>
            </w:r>
          </w:p>
        </w:tc>
        <w:tc>
          <w:tcPr>
            <w:tcW w:w="4286" w:type="dxa"/>
          </w:tcPr>
          <w:p w14:paraId="71A5D3C9" w14:textId="42A5C62E" w:rsidR="009F3643" w:rsidRPr="00CF439B" w:rsidRDefault="009F3643" w:rsidP="00CF439B">
            <w:pPr>
              <w:jc w:val="both"/>
              <w:rPr>
                <w:rFonts w:asciiTheme="minorHAnsi" w:hAnsiTheme="minorHAnsi" w:cstheme="minorHAnsi"/>
                <w:b/>
                <w:sz w:val="20"/>
              </w:rPr>
            </w:pPr>
            <w:r w:rsidRPr="00CF439B">
              <w:rPr>
                <w:rFonts w:asciiTheme="minorHAnsi" w:hAnsiTheme="minorHAnsi" w:cstheme="minorHAnsi"/>
                <w:sz w:val="20"/>
              </w:rPr>
              <w:t xml:space="preserve">Les locaux sont conçus, construits, équipés et entretenus en vue d'empêcher </w:t>
            </w:r>
            <w:proofErr w:type="gramStart"/>
            <w:r w:rsidRPr="00CF439B">
              <w:rPr>
                <w:rFonts w:asciiTheme="minorHAnsi" w:hAnsiTheme="minorHAnsi" w:cstheme="minorHAnsi"/>
                <w:sz w:val="20"/>
              </w:rPr>
              <w:t>au</w:t>
            </w:r>
            <w:proofErr w:type="gramEnd"/>
            <w:r w:rsidRPr="00CF439B">
              <w:rPr>
                <w:rFonts w:asciiTheme="minorHAnsi" w:hAnsiTheme="minorHAnsi" w:cstheme="minorHAnsi"/>
                <w:sz w:val="20"/>
              </w:rPr>
              <w:t xml:space="preserve"> mieux l'entrée d'insectes et d'autres animaux.</w:t>
            </w:r>
          </w:p>
        </w:tc>
        <w:tc>
          <w:tcPr>
            <w:tcW w:w="2683" w:type="dxa"/>
            <w:vAlign w:val="center"/>
          </w:tcPr>
          <w:p w14:paraId="71A5D3CA"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i/>
                <w:sz w:val="20"/>
              </w:rPr>
              <w:t>idem</w:t>
            </w:r>
          </w:p>
        </w:tc>
        <w:tc>
          <w:tcPr>
            <w:tcW w:w="6157" w:type="dxa"/>
          </w:tcPr>
          <w:p w14:paraId="71A5D3CB" w14:textId="77777777" w:rsidR="009F3643" w:rsidRPr="00CF439B" w:rsidRDefault="009F3643">
            <w:pPr>
              <w:rPr>
                <w:rFonts w:asciiTheme="minorHAnsi" w:hAnsiTheme="minorHAnsi" w:cstheme="minorHAnsi"/>
                <w:b/>
                <w:sz w:val="20"/>
              </w:rPr>
            </w:pPr>
          </w:p>
        </w:tc>
      </w:tr>
      <w:tr w:rsidR="009F3643" w:rsidRPr="00CF439B" w14:paraId="71A5D3D2" w14:textId="77777777" w:rsidTr="00CF439B">
        <w:trPr>
          <w:cantSplit/>
        </w:trPr>
        <w:tc>
          <w:tcPr>
            <w:tcW w:w="878" w:type="dxa"/>
            <w:vAlign w:val="center"/>
          </w:tcPr>
          <w:p w14:paraId="71A5D3CD"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sym w:font="Wingdings" w:char="F06F"/>
            </w:r>
          </w:p>
        </w:tc>
        <w:tc>
          <w:tcPr>
            <w:tcW w:w="4286" w:type="dxa"/>
          </w:tcPr>
          <w:p w14:paraId="71A5D3CF" w14:textId="6CB099AA" w:rsidR="009F3643" w:rsidRPr="00CF439B" w:rsidRDefault="009F3643" w:rsidP="00CF439B">
            <w:pPr>
              <w:jc w:val="both"/>
              <w:rPr>
                <w:rFonts w:asciiTheme="minorHAnsi" w:hAnsiTheme="minorHAnsi" w:cstheme="minorHAnsi"/>
                <w:b/>
                <w:sz w:val="20"/>
              </w:rPr>
            </w:pPr>
            <w:r w:rsidRPr="00CF439B">
              <w:rPr>
                <w:rFonts w:asciiTheme="minorHAnsi" w:hAnsiTheme="minorHAnsi" w:cstheme="minorHAnsi"/>
                <w:sz w:val="20"/>
              </w:rPr>
              <w:t>Les zones de stockage ne sont pas utilisées comme lieu de passage par le personnel qui n'y travaille pas.</w:t>
            </w:r>
          </w:p>
        </w:tc>
        <w:tc>
          <w:tcPr>
            <w:tcW w:w="2683" w:type="dxa"/>
            <w:vAlign w:val="center"/>
          </w:tcPr>
          <w:p w14:paraId="71A5D3D0"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i/>
                <w:sz w:val="20"/>
              </w:rPr>
              <w:t>idem</w:t>
            </w:r>
          </w:p>
        </w:tc>
        <w:tc>
          <w:tcPr>
            <w:tcW w:w="6157" w:type="dxa"/>
          </w:tcPr>
          <w:p w14:paraId="71A5D3D1" w14:textId="77777777" w:rsidR="009F3643" w:rsidRPr="00CF439B" w:rsidRDefault="009F3643">
            <w:pPr>
              <w:rPr>
                <w:rFonts w:asciiTheme="minorHAnsi" w:hAnsiTheme="minorHAnsi" w:cstheme="minorHAnsi"/>
                <w:b/>
                <w:sz w:val="20"/>
              </w:rPr>
            </w:pPr>
          </w:p>
        </w:tc>
      </w:tr>
      <w:tr w:rsidR="009F3643" w:rsidRPr="00CF439B" w14:paraId="71A5D3D9" w14:textId="77777777" w:rsidTr="00CF439B">
        <w:trPr>
          <w:cantSplit/>
        </w:trPr>
        <w:tc>
          <w:tcPr>
            <w:tcW w:w="878" w:type="dxa"/>
            <w:vAlign w:val="center"/>
          </w:tcPr>
          <w:p w14:paraId="71A5D3D3"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sym w:font="Wingdings" w:char="F06F"/>
            </w:r>
          </w:p>
        </w:tc>
        <w:tc>
          <w:tcPr>
            <w:tcW w:w="4286" w:type="dxa"/>
          </w:tcPr>
          <w:p w14:paraId="71A5D3D5" w14:textId="4E040F7C" w:rsidR="009F3643" w:rsidRPr="00CF439B" w:rsidRDefault="009F3643" w:rsidP="00CF439B">
            <w:pPr>
              <w:jc w:val="both"/>
              <w:rPr>
                <w:rFonts w:asciiTheme="minorHAnsi" w:hAnsiTheme="minorHAnsi" w:cstheme="minorHAnsi"/>
                <w:b/>
                <w:sz w:val="20"/>
              </w:rPr>
            </w:pPr>
            <w:r w:rsidRPr="00CF439B">
              <w:rPr>
                <w:rFonts w:asciiTheme="minorHAnsi" w:hAnsiTheme="minorHAnsi" w:cstheme="minorHAnsi"/>
                <w:sz w:val="20"/>
              </w:rPr>
              <w:t>La taille des locaux est suffisante pour permettre un stockage ordonné des différentes catégories de produits : produits en quarantaine, libérés, refusés, retournés ou rappelés.</w:t>
            </w:r>
          </w:p>
        </w:tc>
        <w:tc>
          <w:tcPr>
            <w:tcW w:w="2683" w:type="dxa"/>
          </w:tcPr>
          <w:p w14:paraId="71A5D3D6" w14:textId="77777777" w:rsidR="009F3643" w:rsidRPr="00CF439B" w:rsidRDefault="009F3643">
            <w:pPr>
              <w:rPr>
                <w:rFonts w:asciiTheme="minorHAnsi" w:hAnsiTheme="minorHAnsi" w:cstheme="minorHAnsi"/>
                <w:b/>
                <w:sz w:val="20"/>
              </w:rPr>
            </w:pPr>
            <w:r w:rsidRPr="00CF439B">
              <w:rPr>
                <w:rFonts w:asciiTheme="minorHAnsi" w:hAnsiTheme="minorHAnsi" w:cstheme="minorHAnsi"/>
                <w:b/>
                <w:sz w:val="20"/>
              </w:rPr>
              <w:t>Bonnes Pratiques de Fabrication 1998</w:t>
            </w:r>
          </w:p>
          <w:p w14:paraId="71A5D3D7" w14:textId="77777777" w:rsidR="009F3643" w:rsidRPr="00CF439B" w:rsidRDefault="009F3643">
            <w:pPr>
              <w:rPr>
                <w:rFonts w:asciiTheme="minorHAnsi" w:hAnsiTheme="minorHAnsi" w:cstheme="minorHAnsi"/>
                <w:b/>
                <w:sz w:val="20"/>
              </w:rPr>
            </w:pPr>
            <w:r w:rsidRPr="00CF439B">
              <w:rPr>
                <w:rFonts w:asciiTheme="minorHAnsi" w:hAnsiTheme="minorHAnsi" w:cstheme="minorHAnsi"/>
                <w:b/>
                <w:sz w:val="20"/>
              </w:rPr>
              <w:t>("zones de stockage")</w:t>
            </w:r>
          </w:p>
        </w:tc>
        <w:tc>
          <w:tcPr>
            <w:tcW w:w="6157" w:type="dxa"/>
          </w:tcPr>
          <w:p w14:paraId="71A5D3D8" w14:textId="77777777" w:rsidR="009F3643" w:rsidRPr="00CF439B" w:rsidRDefault="009F3643">
            <w:pPr>
              <w:rPr>
                <w:rFonts w:asciiTheme="minorHAnsi" w:hAnsiTheme="minorHAnsi" w:cstheme="minorHAnsi"/>
                <w:b/>
                <w:sz w:val="20"/>
              </w:rPr>
            </w:pPr>
          </w:p>
        </w:tc>
      </w:tr>
      <w:tr w:rsidR="009F3643" w:rsidRPr="00CF439B" w14:paraId="71A5D3DF" w14:textId="77777777" w:rsidTr="00CF439B">
        <w:trPr>
          <w:cantSplit/>
        </w:trPr>
        <w:tc>
          <w:tcPr>
            <w:tcW w:w="878" w:type="dxa"/>
            <w:vAlign w:val="center"/>
          </w:tcPr>
          <w:p w14:paraId="71A5D3DA"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lastRenderedPageBreak/>
              <w:sym w:font="Wingdings" w:char="F06F"/>
            </w:r>
          </w:p>
        </w:tc>
        <w:tc>
          <w:tcPr>
            <w:tcW w:w="4286" w:type="dxa"/>
          </w:tcPr>
          <w:p w14:paraId="71A5D3DC" w14:textId="0CD2E449" w:rsidR="009F3643" w:rsidRPr="00CF439B" w:rsidRDefault="009F3643" w:rsidP="00CF439B">
            <w:pPr>
              <w:jc w:val="both"/>
              <w:rPr>
                <w:rFonts w:asciiTheme="minorHAnsi" w:hAnsiTheme="minorHAnsi" w:cstheme="minorHAnsi"/>
                <w:b/>
                <w:sz w:val="20"/>
              </w:rPr>
            </w:pPr>
            <w:r w:rsidRPr="00CF439B">
              <w:rPr>
                <w:rFonts w:asciiTheme="minorHAnsi" w:hAnsiTheme="minorHAnsi" w:cstheme="minorHAnsi"/>
                <w:sz w:val="20"/>
              </w:rPr>
              <w:t>Les zones de stockage doivent être propres et sèches et maintenues dans des limites acceptables de température. Les conditions spéciales de stockage éventuellement requises (par exemple température, humidité) doivent être respectées, mesurées et contrôlées.</w:t>
            </w:r>
          </w:p>
        </w:tc>
        <w:tc>
          <w:tcPr>
            <w:tcW w:w="2683" w:type="dxa"/>
            <w:vAlign w:val="center"/>
          </w:tcPr>
          <w:p w14:paraId="71A5D3DD"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i/>
                <w:sz w:val="20"/>
              </w:rPr>
              <w:t>idem</w:t>
            </w:r>
          </w:p>
        </w:tc>
        <w:tc>
          <w:tcPr>
            <w:tcW w:w="6157" w:type="dxa"/>
          </w:tcPr>
          <w:p w14:paraId="71A5D3DE" w14:textId="77777777" w:rsidR="009F3643" w:rsidRPr="00CF439B" w:rsidRDefault="009F3643">
            <w:pPr>
              <w:rPr>
                <w:rFonts w:asciiTheme="minorHAnsi" w:hAnsiTheme="minorHAnsi" w:cstheme="minorHAnsi"/>
                <w:b/>
                <w:sz w:val="20"/>
              </w:rPr>
            </w:pPr>
          </w:p>
        </w:tc>
      </w:tr>
      <w:tr w:rsidR="009F3643" w:rsidRPr="00CF439B" w14:paraId="71A5D3E5" w14:textId="77777777" w:rsidTr="00CF439B">
        <w:trPr>
          <w:cantSplit/>
        </w:trPr>
        <w:tc>
          <w:tcPr>
            <w:tcW w:w="878" w:type="dxa"/>
            <w:vAlign w:val="center"/>
          </w:tcPr>
          <w:p w14:paraId="71A5D3E0"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sym w:font="Wingdings" w:char="F06F"/>
            </w:r>
          </w:p>
        </w:tc>
        <w:tc>
          <w:tcPr>
            <w:tcW w:w="4286" w:type="dxa"/>
          </w:tcPr>
          <w:p w14:paraId="71A5D3E2" w14:textId="118C8F00" w:rsidR="009F3643" w:rsidRPr="00CF439B" w:rsidRDefault="009F3643" w:rsidP="00CF439B">
            <w:pPr>
              <w:jc w:val="both"/>
              <w:rPr>
                <w:rFonts w:asciiTheme="minorHAnsi" w:hAnsiTheme="minorHAnsi" w:cstheme="minorHAnsi"/>
                <w:b/>
                <w:sz w:val="20"/>
              </w:rPr>
            </w:pPr>
            <w:r w:rsidRPr="00CF439B">
              <w:rPr>
                <w:rFonts w:asciiTheme="minorHAnsi" w:hAnsiTheme="minorHAnsi" w:cstheme="minorHAnsi"/>
                <w:sz w:val="20"/>
              </w:rPr>
              <w:t>Lorsqu'une zone distincte est réservée à la quarantaine, elle doit en porter clairement la mention et son accès doit être réservé au personnel autorisé. Tout autre système remplaçant cette quarantaine physique doit procurer un même niveau de sécurité.</w:t>
            </w:r>
          </w:p>
        </w:tc>
        <w:tc>
          <w:tcPr>
            <w:tcW w:w="2683" w:type="dxa"/>
            <w:vAlign w:val="center"/>
          </w:tcPr>
          <w:p w14:paraId="71A5D3E3"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i/>
                <w:sz w:val="20"/>
              </w:rPr>
              <w:t>idem</w:t>
            </w:r>
          </w:p>
        </w:tc>
        <w:tc>
          <w:tcPr>
            <w:tcW w:w="6157" w:type="dxa"/>
          </w:tcPr>
          <w:p w14:paraId="71A5D3E4" w14:textId="77777777" w:rsidR="009F3643" w:rsidRPr="00CF439B" w:rsidRDefault="009F3643">
            <w:pPr>
              <w:rPr>
                <w:rFonts w:asciiTheme="minorHAnsi" w:hAnsiTheme="minorHAnsi" w:cstheme="minorHAnsi"/>
                <w:b/>
                <w:sz w:val="20"/>
              </w:rPr>
            </w:pPr>
          </w:p>
        </w:tc>
      </w:tr>
      <w:tr w:rsidR="009F3643" w:rsidRPr="00CF439B" w14:paraId="71A5D3EB" w14:textId="77777777" w:rsidTr="00CF439B">
        <w:trPr>
          <w:cantSplit/>
        </w:trPr>
        <w:tc>
          <w:tcPr>
            <w:tcW w:w="878" w:type="dxa"/>
            <w:vAlign w:val="center"/>
          </w:tcPr>
          <w:p w14:paraId="71A5D3E6"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sym w:font="Wingdings" w:char="F06F"/>
            </w:r>
          </w:p>
        </w:tc>
        <w:tc>
          <w:tcPr>
            <w:tcW w:w="4286" w:type="dxa"/>
          </w:tcPr>
          <w:p w14:paraId="71A5D3E8" w14:textId="5856BB9B" w:rsidR="009F3643" w:rsidRPr="00CF439B" w:rsidRDefault="009F3643" w:rsidP="00CF439B">
            <w:pPr>
              <w:jc w:val="both"/>
              <w:rPr>
                <w:rFonts w:asciiTheme="minorHAnsi" w:hAnsiTheme="minorHAnsi" w:cstheme="minorHAnsi"/>
                <w:b/>
                <w:sz w:val="20"/>
              </w:rPr>
            </w:pPr>
            <w:r w:rsidRPr="00CF439B">
              <w:rPr>
                <w:rFonts w:asciiTheme="minorHAnsi" w:hAnsiTheme="minorHAnsi" w:cstheme="minorHAnsi"/>
                <w:sz w:val="20"/>
              </w:rPr>
              <w:t>Une zone distincte doit être réservée au stockage des produits refusés, rappelés ou retournés.</w:t>
            </w:r>
          </w:p>
        </w:tc>
        <w:tc>
          <w:tcPr>
            <w:tcW w:w="2683" w:type="dxa"/>
            <w:vAlign w:val="center"/>
          </w:tcPr>
          <w:p w14:paraId="71A5D3E9"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i/>
                <w:sz w:val="20"/>
              </w:rPr>
              <w:t>idem</w:t>
            </w:r>
          </w:p>
        </w:tc>
        <w:tc>
          <w:tcPr>
            <w:tcW w:w="6157" w:type="dxa"/>
          </w:tcPr>
          <w:p w14:paraId="71A5D3EA" w14:textId="77777777" w:rsidR="009F3643" w:rsidRPr="00CF439B" w:rsidRDefault="009F3643">
            <w:pPr>
              <w:rPr>
                <w:rFonts w:asciiTheme="minorHAnsi" w:hAnsiTheme="minorHAnsi" w:cstheme="minorHAnsi"/>
                <w:b/>
                <w:sz w:val="20"/>
              </w:rPr>
            </w:pPr>
          </w:p>
        </w:tc>
      </w:tr>
      <w:tr w:rsidR="009F3643" w:rsidRPr="00CF439B" w14:paraId="71A5D3F1" w14:textId="77777777" w:rsidTr="00CF439B">
        <w:trPr>
          <w:cantSplit/>
        </w:trPr>
        <w:tc>
          <w:tcPr>
            <w:tcW w:w="878" w:type="dxa"/>
            <w:vAlign w:val="center"/>
          </w:tcPr>
          <w:p w14:paraId="71A5D3EC"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sym w:font="Wingdings" w:char="F06F"/>
            </w:r>
          </w:p>
        </w:tc>
        <w:tc>
          <w:tcPr>
            <w:tcW w:w="4286" w:type="dxa"/>
          </w:tcPr>
          <w:p w14:paraId="71A5D3EE" w14:textId="12680386" w:rsidR="009F3643" w:rsidRPr="00CF439B" w:rsidRDefault="009F3643" w:rsidP="00CF439B">
            <w:pPr>
              <w:jc w:val="both"/>
              <w:rPr>
                <w:rFonts w:asciiTheme="minorHAnsi" w:hAnsiTheme="minorHAnsi" w:cstheme="minorHAnsi"/>
                <w:b/>
                <w:sz w:val="20"/>
              </w:rPr>
            </w:pPr>
            <w:r w:rsidRPr="00CF439B">
              <w:rPr>
                <w:rFonts w:asciiTheme="minorHAnsi" w:hAnsiTheme="minorHAnsi" w:cstheme="minorHAnsi"/>
                <w:sz w:val="20"/>
              </w:rPr>
              <w:t>Les produits extrêmement actifs doivent être conservés en lieu sûr.</w:t>
            </w:r>
          </w:p>
        </w:tc>
        <w:tc>
          <w:tcPr>
            <w:tcW w:w="2683" w:type="dxa"/>
            <w:vAlign w:val="center"/>
          </w:tcPr>
          <w:p w14:paraId="71A5D3EF"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i/>
                <w:sz w:val="20"/>
              </w:rPr>
              <w:t>idem</w:t>
            </w:r>
          </w:p>
        </w:tc>
        <w:tc>
          <w:tcPr>
            <w:tcW w:w="6157" w:type="dxa"/>
          </w:tcPr>
          <w:p w14:paraId="71A5D3F0" w14:textId="77777777" w:rsidR="009F3643" w:rsidRPr="00CF439B" w:rsidRDefault="009F3643">
            <w:pPr>
              <w:rPr>
                <w:rFonts w:asciiTheme="minorHAnsi" w:hAnsiTheme="minorHAnsi" w:cstheme="minorHAnsi"/>
                <w:b/>
                <w:sz w:val="20"/>
              </w:rPr>
            </w:pPr>
          </w:p>
        </w:tc>
      </w:tr>
      <w:tr w:rsidR="009F3643" w:rsidRPr="00CF439B" w14:paraId="71A5D3F6" w14:textId="77777777" w:rsidTr="00CF439B">
        <w:trPr>
          <w:cantSplit/>
        </w:trPr>
        <w:tc>
          <w:tcPr>
            <w:tcW w:w="878" w:type="dxa"/>
            <w:vAlign w:val="center"/>
          </w:tcPr>
          <w:p w14:paraId="71A5D3F2"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sym w:font="Wingdings" w:char="F06F"/>
            </w:r>
          </w:p>
        </w:tc>
        <w:tc>
          <w:tcPr>
            <w:tcW w:w="4286" w:type="dxa"/>
          </w:tcPr>
          <w:p w14:paraId="71A5D3F3" w14:textId="77777777" w:rsidR="009F3643" w:rsidRPr="00CF439B" w:rsidRDefault="009F3643" w:rsidP="00CF439B">
            <w:pPr>
              <w:jc w:val="both"/>
              <w:rPr>
                <w:rFonts w:asciiTheme="minorHAnsi" w:hAnsiTheme="minorHAnsi" w:cstheme="minorHAnsi"/>
                <w:sz w:val="20"/>
              </w:rPr>
            </w:pPr>
            <w:r w:rsidRPr="00CF439B">
              <w:rPr>
                <w:rFonts w:asciiTheme="minorHAnsi" w:hAnsiTheme="minorHAnsi" w:cstheme="minorHAnsi"/>
                <w:sz w:val="20"/>
              </w:rPr>
              <w:t>La zone de stockage doit avoir une taille suffisante pour permettre un stockage ordonné des différentes catégories de produits pharmaceutiques : médicaments destinés à être expérimentés sur l'homme, échantillons de PEC (si une échantillothèque est prévue sur le site).</w:t>
            </w:r>
          </w:p>
        </w:tc>
        <w:tc>
          <w:tcPr>
            <w:tcW w:w="2683" w:type="dxa"/>
          </w:tcPr>
          <w:p w14:paraId="71A5D3F4" w14:textId="77777777" w:rsidR="009F3643" w:rsidRPr="00CF439B" w:rsidRDefault="009F3643">
            <w:pPr>
              <w:rPr>
                <w:rFonts w:asciiTheme="minorHAnsi" w:hAnsiTheme="minorHAnsi" w:cstheme="minorHAnsi"/>
                <w:b/>
                <w:sz w:val="20"/>
              </w:rPr>
            </w:pPr>
            <w:r w:rsidRPr="00CF439B">
              <w:rPr>
                <w:rFonts w:asciiTheme="minorHAnsi" w:hAnsiTheme="minorHAnsi" w:cstheme="minorHAnsi"/>
                <w:b/>
                <w:sz w:val="20"/>
              </w:rPr>
              <w:t>Bonnes Pratiques de Distribution en gros 2000 ("locaux, stockage")</w:t>
            </w:r>
          </w:p>
        </w:tc>
        <w:tc>
          <w:tcPr>
            <w:tcW w:w="6157" w:type="dxa"/>
          </w:tcPr>
          <w:p w14:paraId="71A5D3F5" w14:textId="77777777" w:rsidR="009F3643" w:rsidRPr="00CF439B" w:rsidRDefault="009F3643">
            <w:pPr>
              <w:rPr>
                <w:rFonts w:asciiTheme="minorHAnsi" w:hAnsiTheme="minorHAnsi" w:cstheme="minorHAnsi"/>
                <w:b/>
                <w:sz w:val="20"/>
              </w:rPr>
            </w:pPr>
          </w:p>
        </w:tc>
      </w:tr>
      <w:tr w:rsidR="009F3643" w:rsidRPr="00CF439B" w14:paraId="71A5D3FB" w14:textId="77777777" w:rsidTr="00CF439B">
        <w:trPr>
          <w:cantSplit/>
        </w:trPr>
        <w:tc>
          <w:tcPr>
            <w:tcW w:w="878" w:type="dxa"/>
            <w:vAlign w:val="center"/>
          </w:tcPr>
          <w:p w14:paraId="71A5D3F7"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sym w:font="Wingdings" w:char="F06F"/>
            </w:r>
          </w:p>
        </w:tc>
        <w:tc>
          <w:tcPr>
            <w:tcW w:w="4286" w:type="dxa"/>
          </w:tcPr>
          <w:p w14:paraId="71A5D3F8" w14:textId="77777777" w:rsidR="009F3643" w:rsidRPr="00CF439B" w:rsidRDefault="009F3643" w:rsidP="00CF439B">
            <w:pPr>
              <w:jc w:val="both"/>
              <w:rPr>
                <w:rFonts w:asciiTheme="minorHAnsi" w:hAnsiTheme="minorHAnsi" w:cstheme="minorHAnsi"/>
                <w:sz w:val="20"/>
              </w:rPr>
            </w:pPr>
            <w:r w:rsidRPr="00CF439B">
              <w:rPr>
                <w:rFonts w:asciiTheme="minorHAnsi" w:hAnsiTheme="minorHAnsi" w:cstheme="minorHAnsi"/>
                <w:sz w:val="20"/>
              </w:rPr>
              <w:t>Les locaux sont situés , conçus, adaptés, construits et entretenus de façon à assurer la sécurité et convenir au mieux aux opérations à effectuer.</w:t>
            </w:r>
          </w:p>
        </w:tc>
        <w:tc>
          <w:tcPr>
            <w:tcW w:w="2683" w:type="dxa"/>
            <w:vAlign w:val="center"/>
          </w:tcPr>
          <w:p w14:paraId="71A5D3F9"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i/>
                <w:sz w:val="20"/>
              </w:rPr>
              <w:t>idem</w:t>
            </w:r>
          </w:p>
        </w:tc>
        <w:tc>
          <w:tcPr>
            <w:tcW w:w="6157" w:type="dxa"/>
          </w:tcPr>
          <w:p w14:paraId="71A5D3FA" w14:textId="77777777" w:rsidR="009F3643" w:rsidRPr="00CF439B" w:rsidRDefault="009F3643">
            <w:pPr>
              <w:rPr>
                <w:rFonts w:asciiTheme="minorHAnsi" w:hAnsiTheme="minorHAnsi" w:cstheme="minorHAnsi"/>
                <w:b/>
                <w:sz w:val="20"/>
              </w:rPr>
            </w:pPr>
          </w:p>
        </w:tc>
      </w:tr>
      <w:tr w:rsidR="009F3643" w:rsidRPr="00CF439B" w14:paraId="71A5D400" w14:textId="77777777" w:rsidTr="00CF439B">
        <w:trPr>
          <w:cantSplit/>
        </w:trPr>
        <w:tc>
          <w:tcPr>
            <w:tcW w:w="878" w:type="dxa"/>
            <w:vAlign w:val="center"/>
          </w:tcPr>
          <w:p w14:paraId="71A5D3FC"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sym w:font="Wingdings" w:char="F06F"/>
            </w:r>
          </w:p>
        </w:tc>
        <w:tc>
          <w:tcPr>
            <w:tcW w:w="4286" w:type="dxa"/>
          </w:tcPr>
          <w:p w14:paraId="71A5D3FD" w14:textId="77777777" w:rsidR="009F3643" w:rsidRPr="00CF439B" w:rsidRDefault="009F3643" w:rsidP="00CF439B">
            <w:pPr>
              <w:jc w:val="both"/>
              <w:rPr>
                <w:rFonts w:asciiTheme="minorHAnsi" w:hAnsiTheme="minorHAnsi" w:cstheme="minorHAnsi"/>
                <w:sz w:val="20"/>
              </w:rPr>
            </w:pPr>
            <w:r w:rsidRPr="00CF439B">
              <w:rPr>
                <w:rFonts w:asciiTheme="minorHAnsi" w:hAnsiTheme="minorHAnsi" w:cstheme="minorHAnsi"/>
                <w:sz w:val="20"/>
              </w:rPr>
              <w:t>La conception, le plan, l'agencement et l'utilisation des locaux de stockage doivent tendre à éliminer les risques d'erreurs et permettre un nettoyage et un entretien garantissant la bonne conservation des produits pharmaceutiques.</w:t>
            </w:r>
          </w:p>
        </w:tc>
        <w:tc>
          <w:tcPr>
            <w:tcW w:w="2683" w:type="dxa"/>
            <w:vAlign w:val="center"/>
          </w:tcPr>
          <w:p w14:paraId="71A5D3FE"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i/>
                <w:sz w:val="20"/>
              </w:rPr>
              <w:t>idem</w:t>
            </w:r>
          </w:p>
        </w:tc>
        <w:tc>
          <w:tcPr>
            <w:tcW w:w="6157" w:type="dxa"/>
          </w:tcPr>
          <w:p w14:paraId="71A5D3FF" w14:textId="77777777" w:rsidR="009F3643" w:rsidRPr="00CF439B" w:rsidRDefault="009F3643">
            <w:pPr>
              <w:rPr>
                <w:rFonts w:asciiTheme="minorHAnsi" w:hAnsiTheme="minorHAnsi" w:cstheme="minorHAnsi"/>
                <w:b/>
                <w:sz w:val="20"/>
              </w:rPr>
            </w:pPr>
          </w:p>
        </w:tc>
      </w:tr>
      <w:tr w:rsidR="009F3643" w:rsidRPr="00CF439B" w14:paraId="71A5D405" w14:textId="77777777" w:rsidTr="00CF439B">
        <w:trPr>
          <w:cantSplit/>
        </w:trPr>
        <w:tc>
          <w:tcPr>
            <w:tcW w:w="878" w:type="dxa"/>
            <w:vAlign w:val="center"/>
          </w:tcPr>
          <w:p w14:paraId="71A5D401"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sym w:font="Wingdings" w:char="F06F"/>
            </w:r>
          </w:p>
        </w:tc>
        <w:tc>
          <w:tcPr>
            <w:tcW w:w="4286" w:type="dxa"/>
          </w:tcPr>
          <w:p w14:paraId="71A5D402" w14:textId="77777777" w:rsidR="009F3643" w:rsidRPr="00CF439B" w:rsidRDefault="009F3643" w:rsidP="00CF439B">
            <w:pPr>
              <w:jc w:val="both"/>
              <w:rPr>
                <w:rFonts w:asciiTheme="minorHAnsi" w:hAnsiTheme="minorHAnsi" w:cstheme="minorHAnsi"/>
                <w:sz w:val="20"/>
              </w:rPr>
            </w:pPr>
            <w:r w:rsidRPr="00CF439B">
              <w:rPr>
                <w:rFonts w:asciiTheme="minorHAnsi" w:hAnsiTheme="minorHAnsi" w:cstheme="minorHAnsi"/>
                <w:sz w:val="20"/>
              </w:rPr>
              <w:t>La protection des produits contre les risques de vols est assurée.</w:t>
            </w:r>
          </w:p>
        </w:tc>
        <w:tc>
          <w:tcPr>
            <w:tcW w:w="2683" w:type="dxa"/>
            <w:vAlign w:val="center"/>
          </w:tcPr>
          <w:p w14:paraId="71A5D403"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i/>
                <w:sz w:val="20"/>
              </w:rPr>
              <w:t>idem</w:t>
            </w:r>
          </w:p>
        </w:tc>
        <w:tc>
          <w:tcPr>
            <w:tcW w:w="6157" w:type="dxa"/>
          </w:tcPr>
          <w:p w14:paraId="71A5D404" w14:textId="77777777" w:rsidR="009F3643" w:rsidRPr="00CF439B" w:rsidRDefault="009F3643">
            <w:pPr>
              <w:rPr>
                <w:rFonts w:asciiTheme="minorHAnsi" w:hAnsiTheme="minorHAnsi" w:cstheme="minorHAnsi"/>
                <w:b/>
                <w:sz w:val="20"/>
              </w:rPr>
            </w:pPr>
          </w:p>
        </w:tc>
      </w:tr>
      <w:tr w:rsidR="009F3643" w:rsidRPr="00CF439B" w14:paraId="71A5D40A" w14:textId="77777777" w:rsidTr="00CF439B">
        <w:trPr>
          <w:cantSplit/>
        </w:trPr>
        <w:tc>
          <w:tcPr>
            <w:tcW w:w="878" w:type="dxa"/>
            <w:vAlign w:val="center"/>
          </w:tcPr>
          <w:p w14:paraId="71A5D406"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sym w:font="Wingdings" w:char="F06F"/>
            </w:r>
          </w:p>
        </w:tc>
        <w:tc>
          <w:tcPr>
            <w:tcW w:w="4286" w:type="dxa"/>
          </w:tcPr>
          <w:p w14:paraId="71A5D407" w14:textId="77777777" w:rsidR="009F3643" w:rsidRPr="00CF439B" w:rsidRDefault="009F3643" w:rsidP="00CF439B">
            <w:pPr>
              <w:jc w:val="both"/>
              <w:rPr>
                <w:rFonts w:asciiTheme="minorHAnsi" w:hAnsiTheme="minorHAnsi" w:cstheme="minorHAnsi"/>
                <w:sz w:val="20"/>
              </w:rPr>
            </w:pPr>
            <w:r w:rsidRPr="00CF439B">
              <w:rPr>
                <w:rFonts w:asciiTheme="minorHAnsi" w:hAnsiTheme="minorHAnsi" w:cstheme="minorHAnsi"/>
                <w:sz w:val="20"/>
              </w:rPr>
              <w:t>Des mesures de sécurité au niveau des zones de stockage sont mises en place pour empêcher l'entrée de personnes non autorisées.</w:t>
            </w:r>
          </w:p>
        </w:tc>
        <w:tc>
          <w:tcPr>
            <w:tcW w:w="2683" w:type="dxa"/>
            <w:vAlign w:val="center"/>
          </w:tcPr>
          <w:p w14:paraId="71A5D408"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i/>
                <w:sz w:val="20"/>
              </w:rPr>
              <w:t>idem</w:t>
            </w:r>
          </w:p>
        </w:tc>
        <w:tc>
          <w:tcPr>
            <w:tcW w:w="6157" w:type="dxa"/>
          </w:tcPr>
          <w:p w14:paraId="71A5D409" w14:textId="77777777" w:rsidR="009F3643" w:rsidRPr="00CF439B" w:rsidRDefault="009F3643">
            <w:pPr>
              <w:rPr>
                <w:rFonts w:asciiTheme="minorHAnsi" w:hAnsiTheme="minorHAnsi" w:cstheme="minorHAnsi"/>
                <w:b/>
                <w:sz w:val="20"/>
              </w:rPr>
            </w:pPr>
          </w:p>
        </w:tc>
      </w:tr>
      <w:tr w:rsidR="009F3643" w:rsidRPr="00CF439B" w14:paraId="71A5D40F" w14:textId="77777777" w:rsidTr="00CF439B">
        <w:trPr>
          <w:cantSplit/>
        </w:trPr>
        <w:tc>
          <w:tcPr>
            <w:tcW w:w="878" w:type="dxa"/>
            <w:vAlign w:val="center"/>
          </w:tcPr>
          <w:p w14:paraId="71A5D40B"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lastRenderedPageBreak/>
              <w:sym w:font="Wingdings" w:char="F06F"/>
            </w:r>
          </w:p>
        </w:tc>
        <w:tc>
          <w:tcPr>
            <w:tcW w:w="4286" w:type="dxa"/>
          </w:tcPr>
          <w:p w14:paraId="71A5D40C" w14:textId="77777777" w:rsidR="009F3643" w:rsidRPr="00CF439B" w:rsidRDefault="009F3643" w:rsidP="00CF439B">
            <w:pPr>
              <w:jc w:val="both"/>
              <w:rPr>
                <w:rFonts w:asciiTheme="minorHAnsi" w:hAnsiTheme="minorHAnsi" w:cstheme="minorHAnsi"/>
                <w:sz w:val="20"/>
              </w:rPr>
            </w:pPr>
            <w:r w:rsidRPr="00CF439B">
              <w:rPr>
                <w:rFonts w:asciiTheme="minorHAnsi" w:hAnsiTheme="minorHAnsi" w:cstheme="minorHAnsi"/>
                <w:sz w:val="20"/>
              </w:rPr>
              <w:t>La conception, le plan, l'agencement et l'utilisation des zones de stockage doivent tendre à éviter le dépôt de poussières ou de saletés et la présence de parasites ou d'animaux nuisibles.</w:t>
            </w:r>
          </w:p>
        </w:tc>
        <w:tc>
          <w:tcPr>
            <w:tcW w:w="2683" w:type="dxa"/>
            <w:vAlign w:val="center"/>
          </w:tcPr>
          <w:p w14:paraId="71A5D40D"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i/>
                <w:sz w:val="20"/>
              </w:rPr>
              <w:t>idem</w:t>
            </w:r>
          </w:p>
        </w:tc>
        <w:tc>
          <w:tcPr>
            <w:tcW w:w="6157" w:type="dxa"/>
          </w:tcPr>
          <w:p w14:paraId="71A5D40E" w14:textId="77777777" w:rsidR="009F3643" w:rsidRPr="00CF439B" w:rsidRDefault="009F3643">
            <w:pPr>
              <w:rPr>
                <w:rFonts w:asciiTheme="minorHAnsi" w:hAnsiTheme="minorHAnsi" w:cstheme="minorHAnsi"/>
                <w:b/>
                <w:sz w:val="20"/>
              </w:rPr>
            </w:pPr>
          </w:p>
        </w:tc>
      </w:tr>
      <w:tr w:rsidR="009F3643" w:rsidRPr="00CF439B" w14:paraId="71A5D414" w14:textId="77777777" w:rsidTr="00CF439B">
        <w:trPr>
          <w:cantSplit/>
        </w:trPr>
        <w:tc>
          <w:tcPr>
            <w:tcW w:w="878" w:type="dxa"/>
            <w:vAlign w:val="center"/>
          </w:tcPr>
          <w:p w14:paraId="71A5D410"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sym w:font="Wingdings" w:char="F06F"/>
            </w:r>
          </w:p>
        </w:tc>
        <w:tc>
          <w:tcPr>
            <w:tcW w:w="4286" w:type="dxa"/>
          </w:tcPr>
          <w:p w14:paraId="71A5D411" w14:textId="77777777" w:rsidR="009F3643" w:rsidRPr="00CF439B" w:rsidRDefault="009F3643" w:rsidP="00CF439B">
            <w:pPr>
              <w:jc w:val="both"/>
              <w:rPr>
                <w:rFonts w:asciiTheme="minorHAnsi" w:hAnsiTheme="minorHAnsi" w:cstheme="minorHAnsi"/>
                <w:sz w:val="20"/>
              </w:rPr>
            </w:pPr>
            <w:r w:rsidRPr="00CF439B">
              <w:rPr>
                <w:rFonts w:asciiTheme="minorHAnsi" w:hAnsiTheme="minorHAnsi" w:cstheme="minorHAnsi"/>
                <w:sz w:val="20"/>
              </w:rPr>
              <w:t>Les zones de repos et de restauration, vestiaires et sanitaires doivent être séparés des zones affectées à la réception, au stockage et à l'expédition. idem pour locaux d'entretien.</w:t>
            </w:r>
          </w:p>
        </w:tc>
        <w:tc>
          <w:tcPr>
            <w:tcW w:w="2683" w:type="dxa"/>
            <w:vAlign w:val="center"/>
          </w:tcPr>
          <w:p w14:paraId="71A5D412"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i/>
                <w:sz w:val="20"/>
              </w:rPr>
              <w:t>idem</w:t>
            </w:r>
          </w:p>
        </w:tc>
        <w:tc>
          <w:tcPr>
            <w:tcW w:w="6157" w:type="dxa"/>
          </w:tcPr>
          <w:p w14:paraId="71A5D413" w14:textId="77777777" w:rsidR="009F3643" w:rsidRPr="00CF439B" w:rsidRDefault="009F3643">
            <w:pPr>
              <w:rPr>
                <w:rFonts w:asciiTheme="minorHAnsi" w:hAnsiTheme="minorHAnsi" w:cstheme="minorHAnsi"/>
                <w:b/>
                <w:sz w:val="20"/>
              </w:rPr>
            </w:pPr>
          </w:p>
        </w:tc>
      </w:tr>
      <w:tr w:rsidR="009F3643" w:rsidRPr="00CF439B" w14:paraId="71A5D419" w14:textId="77777777" w:rsidTr="00CF439B">
        <w:trPr>
          <w:cantSplit/>
        </w:trPr>
        <w:tc>
          <w:tcPr>
            <w:tcW w:w="878" w:type="dxa"/>
            <w:vAlign w:val="center"/>
          </w:tcPr>
          <w:p w14:paraId="71A5D415"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sym w:font="Wingdings" w:char="F06F"/>
            </w:r>
          </w:p>
        </w:tc>
        <w:tc>
          <w:tcPr>
            <w:tcW w:w="4286" w:type="dxa"/>
          </w:tcPr>
          <w:p w14:paraId="71A5D416" w14:textId="77777777" w:rsidR="009F3643" w:rsidRPr="00CF439B" w:rsidRDefault="009F3643" w:rsidP="00CF439B">
            <w:pPr>
              <w:jc w:val="both"/>
              <w:rPr>
                <w:rFonts w:asciiTheme="minorHAnsi" w:hAnsiTheme="minorHAnsi" w:cstheme="minorHAnsi"/>
                <w:sz w:val="20"/>
              </w:rPr>
            </w:pPr>
            <w:r w:rsidRPr="00CF439B">
              <w:rPr>
                <w:rFonts w:asciiTheme="minorHAnsi" w:hAnsiTheme="minorHAnsi" w:cstheme="minorHAnsi"/>
                <w:sz w:val="20"/>
              </w:rPr>
              <w:t>L'organisation du stockage des produits doit permettre une rotation fondée sur le principe "premier entré, premier sorti", en tenant compte de la date de péremption.</w:t>
            </w:r>
          </w:p>
        </w:tc>
        <w:tc>
          <w:tcPr>
            <w:tcW w:w="2683" w:type="dxa"/>
            <w:vAlign w:val="center"/>
          </w:tcPr>
          <w:p w14:paraId="71A5D417"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i/>
                <w:sz w:val="20"/>
              </w:rPr>
              <w:t>idem</w:t>
            </w:r>
          </w:p>
        </w:tc>
        <w:tc>
          <w:tcPr>
            <w:tcW w:w="6157" w:type="dxa"/>
          </w:tcPr>
          <w:p w14:paraId="71A5D418" w14:textId="77777777" w:rsidR="009F3643" w:rsidRPr="00CF439B" w:rsidRDefault="009F3643">
            <w:pPr>
              <w:rPr>
                <w:rFonts w:asciiTheme="minorHAnsi" w:hAnsiTheme="minorHAnsi" w:cstheme="minorHAnsi"/>
                <w:b/>
                <w:sz w:val="20"/>
              </w:rPr>
            </w:pPr>
          </w:p>
        </w:tc>
      </w:tr>
      <w:tr w:rsidR="009F3643" w:rsidRPr="00CF439B" w14:paraId="71A5D41E" w14:textId="77777777" w:rsidTr="00CF439B">
        <w:trPr>
          <w:cantSplit/>
        </w:trPr>
        <w:tc>
          <w:tcPr>
            <w:tcW w:w="878" w:type="dxa"/>
            <w:vAlign w:val="center"/>
          </w:tcPr>
          <w:p w14:paraId="71A5D41A"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sym w:font="Wingdings" w:char="F06F"/>
            </w:r>
          </w:p>
        </w:tc>
        <w:tc>
          <w:tcPr>
            <w:tcW w:w="4286" w:type="dxa"/>
          </w:tcPr>
          <w:p w14:paraId="71A5D41B" w14:textId="77777777" w:rsidR="009F3643" w:rsidRPr="00CF439B" w:rsidRDefault="009F3643" w:rsidP="00CF439B">
            <w:pPr>
              <w:jc w:val="both"/>
              <w:rPr>
                <w:rFonts w:asciiTheme="minorHAnsi" w:hAnsiTheme="minorHAnsi" w:cstheme="minorHAnsi"/>
                <w:sz w:val="20"/>
              </w:rPr>
            </w:pPr>
            <w:r w:rsidRPr="00CF439B">
              <w:rPr>
                <w:rFonts w:asciiTheme="minorHAnsi" w:hAnsiTheme="minorHAnsi" w:cstheme="minorHAnsi"/>
                <w:sz w:val="20"/>
              </w:rPr>
              <w:t xml:space="preserve">L'aménagement doit assurer une circulation logique et aisée afin d'éviter tout risque de confusion et permettre une rotation des stocks. </w:t>
            </w:r>
          </w:p>
        </w:tc>
        <w:tc>
          <w:tcPr>
            <w:tcW w:w="2683" w:type="dxa"/>
            <w:vAlign w:val="center"/>
          </w:tcPr>
          <w:p w14:paraId="71A5D41C"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i/>
                <w:sz w:val="20"/>
              </w:rPr>
              <w:t>idem</w:t>
            </w:r>
          </w:p>
        </w:tc>
        <w:tc>
          <w:tcPr>
            <w:tcW w:w="6157" w:type="dxa"/>
          </w:tcPr>
          <w:p w14:paraId="71A5D41D" w14:textId="77777777" w:rsidR="009F3643" w:rsidRPr="00CF439B" w:rsidRDefault="009F3643">
            <w:pPr>
              <w:rPr>
                <w:rFonts w:asciiTheme="minorHAnsi" w:hAnsiTheme="minorHAnsi" w:cstheme="minorHAnsi"/>
                <w:b/>
                <w:sz w:val="20"/>
              </w:rPr>
            </w:pPr>
          </w:p>
        </w:tc>
      </w:tr>
      <w:tr w:rsidR="009F3643" w:rsidRPr="00CF439B" w14:paraId="71A5D423" w14:textId="77777777" w:rsidTr="00CF439B">
        <w:trPr>
          <w:cantSplit/>
        </w:trPr>
        <w:tc>
          <w:tcPr>
            <w:tcW w:w="878" w:type="dxa"/>
            <w:vAlign w:val="center"/>
          </w:tcPr>
          <w:p w14:paraId="71A5D41F"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sym w:font="Wingdings" w:char="F06F"/>
            </w:r>
          </w:p>
        </w:tc>
        <w:tc>
          <w:tcPr>
            <w:tcW w:w="4286" w:type="dxa"/>
          </w:tcPr>
          <w:p w14:paraId="71A5D420" w14:textId="77777777" w:rsidR="009F3643" w:rsidRPr="00CF439B" w:rsidRDefault="009F3643" w:rsidP="00CF439B">
            <w:pPr>
              <w:jc w:val="both"/>
              <w:rPr>
                <w:rFonts w:asciiTheme="minorHAnsi" w:hAnsiTheme="minorHAnsi" w:cstheme="minorHAnsi"/>
                <w:sz w:val="20"/>
              </w:rPr>
            </w:pPr>
            <w:r w:rsidRPr="00CF439B">
              <w:rPr>
                <w:rFonts w:asciiTheme="minorHAnsi" w:hAnsiTheme="minorHAnsi" w:cstheme="minorHAnsi"/>
                <w:sz w:val="20"/>
              </w:rPr>
              <w:t>Le stockage à même le sol doit être évité.</w:t>
            </w:r>
          </w:p>
        </w:tc>
        <w:tc>
          <w:tcPr>
            <w:tcW w:w="2683" w:type="dxa"/>
            <w:vAlign w:val="center"/>
          </w:tcPr>
          <w:p w14:paraId="71A5D421"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i/>
                <w:sz w:val="20"/>
              </w:rPr>
              <w:t>idem</w:t>
            </w:r>
          </w:p>
        </w:tc>
        <w:tc>
          <w:tcPr>
            <w:tcW w:w="6157" w:type="dxa"/>
          </w:tcPr>
          <w:p w14:paraId="71A5D422" w14:textId="77777777" w:rsidR="009F3643" w:rsidRPr="00CF439B" w:rsidRDefault="009F3643">
            <w:pPr>
              <w:rPr>
                <w:rFonts w:asciiTheme="minorHAnsi" w:hAnsiTheme="minorHAnsi" w:cstheme="minorHAnsi"/>
                <w:b/>
                <w:sz w:val="20"/>
              </w:rPr>
            </w:pPr>
          </w:p>
        </w:tc>
      </w:tr>
      <w:tr w:rsidR="009F3643" w:rsidRPr="00CF439B" w14:paraId="71A5D428" w14:textId="77777777" w:rsidTr="00CF439B">
        <w:trPr>
          <w:cantSplit/>
        </w:trPr>
        <w:tc>
          <w:tcPr>
            <w:tcW w:w="878" w:type="dxa"/>
            <w:vAlign w:val="center"/>
          </w:tcPr>
          <w:p w14:paraId="71A5D424"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sym w:font="Wingdings" w:char="F06F"/>
            </w:r>
          </w:p>
        </w:tc>
        <w:tc>
          <w:tcPr>
            <w:tcW w:w="4286" w:type="dxa"/>
          </w:tcPr>
          <w:p w14:paraId="71A5D425" w14:textId="77777777" w:rsidR="009F3643" w:rsidRPr="00CF439B" w:rsidRDefault="009F3643" w:rsidP="00CF439B">
            <w:pPr>
              <w:jc w:val="both"/>
              <w:rPr>
                <w:rFonts w:asciiTheme="minorHAnsi" w:hAnsiTheme="minorHAnsi" w:cstheme="minorHAnsi"/>
                <w:sz w:val="20"/>
              </w:rPr>
            </w:pPr>
            <w:r w:rsidRPr="00CF439B">
              <w:rPr>
                <w:rFonts w:asciiTheme="minorHAnsi" w:hAnsiTheme="minorHAnsi" w:cstheme="minorHAnsi"/>
                <w:sz w:val="20"/>
              </w:rPr>
              <w:t xml:space="preserve">La température doit être contrôlée et enregistrée périodiquement. </w:t>
            </w:r>
          </w:p>
        </w:tc>
        <w:tc>
          <w:tcPr>
            <w:tcW w:w="2683" w:type="dxa"/>
            <w:vAlign w:val="center"/>
          </w:tcPr>
          <w:p w14:paraId="71A5D426"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i/>
                <w:sz w:val="20"/>
              </w:rPr>
              <w:t>idem</w:t>
            </w:r>
          </w:p>
        </w:tc>
        <w:tc>
          <w:tcPr>
            <w:tcW w:w="6157" w:type="dxa"/>
          </w:tcPr>
          <w:p w14:paraId="71A5D427" w14:textId="77777777" w:rsidR="009F3643" w:rsidRPr="00CF439B" w:rsidRDefault="009F3643">
            <w:pPr>
              <w:rPr>
                <w:rFonts w:asciiTheme="minorHAnsi" w:hAnsiTheme="minorHAnsi" w:cstheme="minorHAnsi"/>
                <w:b/>
                <w:sz w:val="20"/>
              </w:rPr>
            </w:pPr>
          </w:p>
        </w:tc>
      </w:tr>
      <w:tr w:rsidR="009F3643" w:rsidRPr="00CF439B" w14:paraId="71A5D42D" w14:textId="77777777" w:rsidTr="00CF439B">
        <w:trPr>
          <w:cantSplit/>
        </w:trPr>
        <w:tc>
          <w:tcPr>
            <w:tcW w:w="878" w:type="dxa"/>
            <w:vAlign w:val="center"/>
          </w:tcPr>
          <w:p w14:paraId="71A5D429"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sym w:font="Wingdings" w:char="F06F"/>
            </w:r>
          </w:p>
        </w:tc>
        <w:tc>
          <w:tcPr>
            <w:tcW w:w="4286" w:type="dxa"/>
          </w:tcPr>
          <w:p w14:paraId="71A5D42A" w14:textId="77777777" w:rsidR="009F3643" w:rsidRPr="00CF439B" w:rsidRDefault="009F3643" w:rsidP="00CF439B">
            <w:pPr>
              <w:jc w:val="both"/>
              <w:rPr>
                <w:rFonts w:asciiTheme="minorHAnsi" w:hAnsiTheme="minorHAnsi" w:cstheme="minorHAnsi"/>
                <w:sz w:val="20"/>
              </w:rPr>
            </w:pPr>
            <w:r w:rsidRPr="00CF439B">
              <w:rPr>
                <w:rFonts w:asciiTheme="minorHAnsi" w:hAnsiTheme="minorHAnsi" w:cstheme="minorHAnsi"/>
                <w:sz w:val="20"/>
              </w:rPr>
              <w:t>Quand des conditions de température spécifiques sont exigées, les zones de stockage doivent être équipées d'enregistreurs de température et/ou autres dispositifs indiquant le moment où les limites de température requises n'ont pas été respectées.</w:t>
            </w:r>
          </w:p>
        </w:tc>
        <w:tc>
          <w:tcPr>
            <w:tcW w:w="2683" w:type="dxa"/>
            <w:vAlign w:val="center"/>
          </w:tcPr>
          <w:p w14:paraId="71A5D42B"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i/>
                <w:sz w:val="20"/>
              </w:rPr>
              <w:t>idem</w:t>
            </w:r>
          </w:p>
        </w:tc>
        <w:tc>
          <w:tcPr>
            <w:tcW w:w="6157" w:type="dxa"/>
          </w:tcPr>
          <w:p w14:paraId="71A5D42C" w14:textId="77777777" w:rsidR="009F3643" w:rsidRPr="00CF439B" w:rsidRDefault="009F3643">
            <w:pPr>
              <w:rPr>
                <w:rFonts w:asciiTheme="minorHAnsi" w:hAnsiTheme="minorHAnsi" w:cstheme="minorHAnsi"/>
                <w:b/>
                <w:sz w:val="20"/>
              </w:rPr>
            </w:pPr>
          </w:p>
        </w:tc>
      </w:tr>
      <w:tr w:rsidR="009F3643" w:rsidRPr="00CF439B" w14:paraId="71A5D432" w14:textId="77777777" w:rsidTr="00CF439B">
        <w:trPr>
          <w:cantSplit/>
        </w:trPr>
        <w:tc>
          <w:tcPr>
            <w:tcW w:w="878" w:type="dxa"/>
            <w:vAlign w:val="center"/>
          </w:tcPr>
          <w:p w14:paraId="71A5D42E"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sym w:font="Wingdings" w:char="F06F"/>
            </w:r>
          </w:p>
        </w:tc>
        <w:tc>
          <w:tcPr>
            <w:tcW w:w="4286" w:type="dxa"/>
          </w:tcPr>
          <w:p w14:paraId="71A5D42F" w14:textId="77777777" w:rsidR="009F3643" w:rsidRPr="00CF439B" w:rsidRDefault="009F3643" w:rsidP="00CF439B">
            <w:pPr>
              <w:jc w:val="both"/>
              <w:rPr>
                <w:rFonts w:asciiTheme="minorHAnsi" w:hAnsiTheme="minorHAnsi" w:cstheme="minorHAnsi"/>
                <w:sz w:val="20"/>
              </w:rPr>
            </w:pPr>
            <w:r w:rsidRPr="00CF439B">
              <w:rPr>
                <w:rFonts w:asciiTheme="minorHAnsi" w:hAnsiTheme="minorHAnsi" w:cstheme="minorHAnsi"/>
                <w:sz w:val="20"/>
              </w:rPr>
              <w:t>Les locaux destinés à stocker les médicaments classés comme stupéfiants ne peuvent contenir d'autres produits ou objets à l'exception des documents réglementaires prévus pour leur distribution.</w:t>
            </w:r>
          </w:p>
        </w:tc>
        <w:tc>
          <w:tcPr>
            <w:tcW w:w="2683" w:type="dxa"/>
            <w:vAlign w:val="center"/>
          </w:tcPr>
          <w:p w14:paraId="71A5D430"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i/>
                <w:sz w:val="20"/>
              </w:rPr>
              <w:t>idem</w:t>
            </w:r>
          </w:p>
        </w:tc>
        <w:tc>
          <w:tcPr>
            <w:tcW w:w="6157" w:type="dxa"/>
          </w:tcPr>
          <w:p w14:paraId="71A5D431" w14:textId="77777777" w:rsidR="009F3643" w:rsidRPr="00CF439B" w:rsidRDefault="009F3643">
            <w:pPr>
              <w:rPr>
                <w:rFonts w:asciiTheme="minorHAnsi" w:hAnsiTheme="minorHAnsi" w:cstheme="minorHAnsi"/>
                <w:b/>
                <w:sz w:val="20"/>
              </w:rPr>
            </w:pPr>
          </w:p>
        </w:tc>
      </w:tr>
      <w:tr w:rsidR="009F3643" w:rsidRPr="00CF439B" w14:paraId="71A5D437" w14:textId="77777777" w:rsidTr="00CF439B">
        <w:trPr>
          <w:cantSplit/>
        </w:trPr>
        <w:tc>
          <w:tcPr>
            <w:tcW w:w="878" w:type="dxa"/>
            <w:vAlign w:val="center"/>
          </w:tcPr>
          <w:p w14:paraId="71A5D433"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sym w:font="Wingdings" w:char="F06F"/>
            </w:r>
          </w:p>
        </w:tc>
        <w:tc>
          <w:tcPr>
            <w:tcW w:w="4286" w:type="dxa"/>
          </w:tcPr>
          <w:p w14:paraId="71A5D434" w14:textId="77777777" w:rsidR="009F3643" w:rsidRPr="00CF439B" w:rsidRDefault="009F3643" w:rsidP="00CF439B">
            <w:pPr>
              <w:jc w:val="both"/>
              <w:rPr>
                <w:rFonts w:asciiTheme="minorHAnsi" w:hAnsiTheme="minorHAnsi" w:cstheme="minorHAnsi"/>
                <w:sz w:val="20"/>
                <w:lang w:val="en-GB"/>
              </w:rPr>
            </w:pPr>
            <w:r w:rsidRPr="00CF439B">
              <w:rPr>
                <w:rFonts w:asciiTheme="minorHAnsi" w:hAnsiTheme="minorHAnsi" w:cstheme="minorHAnsi"/>
                <w:sz w:val="20"/>
                <w:lang w:val="en-GB"/>
              </w:rPr>
              <w:t>Storage of drug products under appropriate conditions of temperature, humidity, and light so that the identity, strength, quality, and purity of the drug products are not affected.</w:t>
            </w:r>
          </w:p>
        </w:tc>
        <w:tc>
          <w:tcPr>
            <w:tcW w:w="2683" w:type="dxa"/>
          </w:tcPr>
          <w:p w14:paraId="71A5D435" w14:textId="77777777" w:rsidR="009F3643" w:rsidRPr="00CF439B" w:rsidRDefault="009F3643">
            <w:pPr>
              <w:rPr>
                <w:rFonts w:asciiTheme="minorHAnsi" w:hAnsiTheme="minorHAnsi" w:cstheme="minorHAnsi"/>
                <w:b/>
                <w:sz w:val="20"/>
                <w:lang w:val="en-GB"/>
              </w:rPr>
            </w:pPr>
            <w:r w:rsidRPr="00CF439B">
              <w:rPr>
                <w:rFonts w:asciiTheme="minorHAnsi" w:hAnsiTheme="minorHAnsi" w:cstheme="minorHAnsi"/>
                <w:b/>
                <w:sz w:val="20"/>
                <w:lang w:val="en-GB"/>
              </w:rPr>
              <w:t>21 CRF part 211 subpart H Holding and Distribution § 211.142 Warehousing procedure (FDA)</w:t>
            </w:r>
          </w:p>
        </w:tc>
        <w:tc>
          <w:tcPr>
            <w:tcW w:w="6157" w:type="dxa"/>
          </w:tcPr>
          <w:p w14:paraId="71A5D436" w14:textId="77777777" w:rsidR="009F3643" w:rsidRPr="00CF439B" w:rsidRDefault="009F3643">
            <w:pPr>
              <w:rPr>
                <w:rFonts w:asciiTheme="minorHAnsi" w:hAnsiTheme="minorHAnsi" w:cstheme="minorHAnsi"/>
                <w:b/>
                <w:sz w:val="20"/>
                <w:lang w:val="en-GB"/>
              </w:rPr>
            </w:pPr>
          </w:p>
        </w:tc>
      </w:tr>
      <w:tr w:rsidR="009F3643" w:rsidRPr="00CF439B" w14:paraId="71A5D43D" w14:textId="77777777" w:rsidTr="00CF439B">
        <w:trPr>
          <w:cantSplit/>
        </w:trPr>
        <w:tc>
          <w:tcPr>
            <w:tcW w:w="878" w:type="dxa"/>
            <w:vAlign w:val="center"/>
          </w:tcPr>
          <w:p w14:paraId="71A5D438"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sym w:font="Wingdings" w:char="F06F"/>
            </w:r>
          </w:p>
        </w:tc>
        <w:tc>
          <w:tcPr>
            <w:tcW w:w="4286" w:type="dxa"/>
          </w:tcPr>
          <w:p w14:paraId="71A5D439" w14:textId="77777777" w:rsidR="009F3643" w:rsidRPr="00CF439B" w:rsidRDefault="009F3643" w:rsidP="00CF439B">
            <w:pPr>
              <w:jc w:val="both"/>
              <w:rPr>
                <w:rFonts w:asciiTheme="minorHAnsi" w:hAnsiTheme="minorHAnsi" w:cstheme="minorHAnsi"/>
                <w:sz w:val="20"/>
                <w:lang w:val="en-GB"/>
              </w:rPr>
            </w:pPr>
            <w:r w:rsidRPr="00CF439B">
              <w:rPr>
                <w:rFonts w:asciiTheme="minorHAnsi" w:hAnsiTheme="minorHAnsi" w:cstheme="minorHAnsi"/>
                <w:sz w:val="20"/>
                <w:lang w:val="en-GB"/>
              </w:rPr>
              <w:t>Any building used in holding of a drug product shall be of suitable size, construction and location to facilitate cleaning, maintenance, and proper operations.</w:t>
            </w:r>
          </w:p>
        </w:tc>
        <w:tc>
          <w:tcPr>
            <w:tcW w:w="2683" w:type="dxa"/>
          </w:tcPr>
          <w:p w14:paraId="71A5D43A" w14:textId="77777777" w:rsidR="009F3643" w:rsidRPr="00CF439B" w:rsidRDefault="009F3643">
            <w:pPr>
              <w:rPr>
                <w:rFonts w:asciiTheme="minorHAnsi" w:hAnsiTheme="minorHAnsi" w:cstheme="minorHAnsi"/>
                <w:b/>
                <w:sz w:val="20"/>
                <w:lang w:val="en-GB"/>
              </w:rPr>
            </w:pPr>
            <w:r w:rsidRPr="00CF439B">
              <w:rPr>
                <w:rFonts w:asciiTheme="minorHAnsi" w:hAnsiTheme="minorHAnsi" w:cstheme="minorHAnsi"/>
                <w:b/>
                <w:sz w:val="20"/>
                <w:lang w:val="en-GB"/>
              </w:rPr>
              <w:t xml:space="preserve">21 CRF part 211Subpart C-Buildings and </w:t>
            </w:r>
            <w:proofErr w:type="spellStart"/>
            <w:r w:rsidRPr="00CF439B">
              <w:rPr>
                <w:rFonts w:asciiTheme="minorHAnsi" w:hAnsiTheme="minorHAnsi" w:cstheme="minorHAnsi"/>
                <w:b/>
                <w:sz w:val="20"/>
                <w:lang w:val="en-GB"/>
              </w:rPr>
              <w:t>Facilitees</w:t>
            </w:r>
            <w:proofErr w:type="spellEnd"/>
          </w:p>
          <w:p w14:paraId="71A5D43B" w14:textId="77777777" w:rsidR="009F3643" w:rsidRPr="00CF439B" w:rsidRDefault="009F3643">
            <w:pPr>
              <w:rPr>
                <w:rFonts w:asciiTheme="minorHAnsi" w:hAnsiTheme="minorHAnsi" w:cstheme="minorHAnsi"/>
                <w:b/>
                <w:sz w:val="20"/>
              </w:rPr>
            </w:pPr>
            <w:r w:rsidRPr="00CF439B">
              <w:rPr>
                <w:rFonts w:asciiTheme="minorHAnsi" w:hAnsiTheme="minorHAnsi" w:cstheme="minorHAnsi"/>
                <w:b/>
                <w:sz w:val="20"/>
              </w:rPr>
              <w:t xml:space="preserve">§ 211.42 Design and construction </w:t>
            </w:r>
            <w:proofErr w:type="spellStart"/>
            <w:r w:rsidRPr="00CF439B">
              <w:rPr>
                <w:rFonts w:asciiTheme="minorHAnsi" w:hAnsiTheme="minorHAnsi" w:cstheme="minorHAnsi"/>
                <w:b/>
                <w:sz w:val="20"/>
              </w:rPr>
              <w:t>features</w:t>
            </w:r>
            <w:proofErr w:type="spellEnd"/>
            <w:r w:rsidRPr="00CF439B">
              <w:rPr>
                <w:rFonts w:asciiTheme="minorHAnsi" w:hAnsiTheme="minorHAnsi" w:cstheme="minorHAnsi"/>
                <w:b/>
                <w:sz w:val="20"/>
              </w:rPr>
              <w:t>.</w:t>
            </w:r>
          </w:p>
        </w:tc>
        <w:tc>
          <w:tcPr>
            <w:tcW w:w="6157" w:type="dxa"/>
          </w:tcPr>
          <w:p w14:paraId="71A5D43C" w14:textId="77777777" w:rsidR="009F3643" w:rsidRPr="00CF439B" w:rsidRDefault="009F3643">
            <w:pPr>
              <w:rPr>
                <w:rFonts w:asciiTheme="minorHAnsi" w:hAnsiTheme="minorHAnsi" w:cstheme="minorHAnsi"/>
                <w:b/>
                <w:sz w:val="20"/>
              </w:rPr>
            </w:pPr>
          </w:p>
        </w:tc>
      </w:tr>
      <w:tr w:rsidR="009F3643" w:rsidRPr="00CF439B" w14:paraId="71A5D442" w14:textId="77777777" w:rsidTr="00CF439B">
        <w:trPr>
          <w:cantSplit/>
        </w:trPr>
        <w:tc>
          <w:tcPr>
            <w:tcW w:w="878" w:type="dxa"/>
            <w:vAlign w:val="center"/>
          </w:tcPr>
          <w:p w14:paraId="71A5D43E"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lastRenderedPageBreak/>
              <w:sym w:font="Wingdings" w:char="F06F"/>
            </w:r>
          </w:p>
        </w:tc>
        <w:tc>
          <w:tcPr>
            <w:tcW w:w="4286" w:type="dxa"/>
          </w:tcPr>
          <w:p w14:paraId="71A5D43F" w14:textId="77777777" w:rsidR="009F3643" w:rsidRPr="00CF439B" w:rsidRDefault="009F3643" w:rsidP="00CF439B">
            <w:pPr>
              <w:jc w:val="both"/>
              <w:rPr>
                <w:rFonts w:asciiTheme="minorHAnsi" w:hAnsiTheme="minorHAnsi" w:cstheme="minorHAnsi"/>
                <w:sz w:val="20"/>
                <w:lang w:val="en-GB"/>
              </w:rPr>
            </w:pPr>
            <w:r w:rsidRPr="00CF439B">
              <w:rPr>
                <w:rFonts w:asciiTheme="minorHAnsi" w:hAnsiTheme="minorHAnsi" w:cstheme="minorHAnsi"/>
                <w:sz w:val="20"/>
                <w:lang w:val="en-GB"/>
              </w:rPr>
              <w:t>Adequate lighting shall be provided in all areas.</w:t>
            </w:r>
          </w:p>
        </w:tc>
        <w:tc>
          <w:tcPr>
            <w:tcW w:w="2683" w:type="dxa"/>
            <w:vAlign w:val="center"/>
          </w:tcPr>
          <w:p w14:paraId="71A5D440"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i/>
                <w:sz w:val="20"/>
              </w:rPr>
              <w:t>idem</w:t>
            </w:r>
          </w:p>
        </w:tc>
        <w:tc>
          <w:tcPr>
            <w:tcW w:w="6157" w:type="dxa"/>
          </w:tcPr>
          <w:p w14:paraId="71A5D441" w14:textId="77777777" w:rsidR="009F3643" w:rsidRPr="00CF439B" w:rsidRDefault="009F3643">
            <w:pPr>
              <w:rPr>
                <w:rFonts w:asciiTheme="minorHAnsi" w:hAnsiTheme="minorHAnsi" w:cstheme="minorHAnsi"/>
                <w:b/>
                <w:sz w:val="20"/>
              </w:rPr>
            </w:pPr>
          </w:p>
        </w:tc>
      </w:tr>
      <w:tr w:rsidR="009F3643" w:rsidRPr="00CF439B" w14:paraId="71A5D447" w14:textId="77777777" w:rsidTr="00CF439B">
        <w:trPr>
          <w:cantSplit/>
        </w:trPr>
        <w:tc>
          <w:tcPr>
            <w:tcW w:w="878" w:type="dxa"/>
            <w:vAlign w:val="center"/>
          </w:tcPr>
          <w:p w14:paraId="71A5D443"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sym w:font="Wingdings" w:char="F06F"/>
            </w:r>
          </w:p>
        </w:tc>
        <w:tc>
          <w:tcPr>
            <w:tcW w:w="4286" w:type="dxa"/>
          </w:tcPr>
          <w:p w14:paraId="71A5D444" w14:textId="77777777" w:rsidR="009F3643" w:rsidRPr="00CF439B" w:rsidRDefault="009F3643" w:rsidP="00CF439B">
            <w:pPr>
              <w:jc w:val="both"/>
              <w:rPr>
                <w:rFonts w:asciiTheme="minorHAnsi" w:hAnsiTheme="minorHAnsi" w:cstheme="minorHAnsi"/>
                <w:sz w:val="20"/>
                <w:lang w:val="en-GB"/>
              </w:rPr>
            </w:pPr>
            <w:r w:rsidRPr="00CF439B">
              <w:rPr>
                <w:rFonts w:asciiTheme="minorHAnsi" w:hAnsiTheme="minorHAnsi" w:cstheme="minorHAnsi"/>
                <w:sz w:val="20"/>
                <w:lang w:val="en-GB"/>
              </w:rPr>
              <w:t>Adequate ventilation shall be provided.</w:t>
            </w:r>
          </w:p>
        </w:tc>
        <w:tc>
          <w:tcPr>
            <w:tcW w:w="2683" w:type="dxa"/>
            <w:vAlign w:val="center"/>
          </w:tcPr>
          <w:p w14:paraId="71A5D445"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i/>
                <w:sz w:val="20"/>
              </w:rPr>
              <w:t>idem</w:t>
            </w:r>
          </w:p>
        </w:tc>
        <w:tc>
          <w:tcPr>
            <w:tcW w:w="6157" w:type="dxa"/>
          </w:tcPr>
          <w:p w14:paraId="71A5D446" w14:textId="77777777" w:rsidR="009F3643" w:rsidRPr="00CF439B" w:rsidRDefault="009F3643">
            <w:pPr>
              <w:rPr>
                <w:rFonts w:asciiTheme="minorHAnsi" w:hAnsiTheme="minorHAnsi" w:cstheme="minorHAnsi"/>
                <w:b/>
                <w:sz w:val="20"/>
              </w:rPr>
            </w:pPr>
          </w:p>
        </w:tc>
      </w:tr>
      <w:tr w:rsidR="009F3643" w:rsidRPr="00CF439B" w14:paraId="71A5D44C" w14:textId="77777777" w:rsidTr="00CF439B">
        <w:trPr>
          <w:cantSplit/>
        </w:trPr>
        <w:tc>
          <w:tcPr>
            <w:tcW w:w="878" w:type="dxa"/>
            <w:vAlign w:val="center"/>
          </w:tcPr>
          <w:p w14:paraId="71A5D448"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sym w:font="Wingdings" w:char="F06F"/>
            </w:r>
          </w:p>
        </w:tc>
        <w:tc>
          <w:tcPr>
            <w:tcW w:w="4286" w:type="dxa"/>
          </w:tcPr>
          <w:p w14:paraId="71A5D449" w14:textId="77777777" w:rsidR="009F3643" w:rsidRPr="00CF439B" w:rsidRDefault="009F3643" w:rsidP="00CF439B">
            <w:pPr>
              <w:jc w:val="both"/>
              <w:rPr>
                <w:rFonts w:asciiTheme="minorHAnsi" w:hAnsiTheme="minorHAnsi" w:cstheme="minorHAnsi"/>
                <w:sz w:val="20"/>
                <w:lang w:val="en-GB"/>
              </w:rPr>
            </w:pPr>
            <w:r w:rsidRPr="00CF439B">
              <w:rPr>
                <w:rFonts w:asciiTheme="minorHAnsi" w:hAnsiTheme="minorHAnsi" w:cstheme="minorHAnsi"/>
                <w:sz w:val="20"/>
                <w:lang w:val="en-GB"/>
              </w:rPr>
              <w:t>Equipment for adequate control over air pressure, micro-organisms, dust, humidity, and temperature shall be provided when appropriate for the holding of a drug product.</w:t>
            </w:r>
          </w:p>
        </w:tc>
        <w:tc>
          <w:tcPr>
            <w:tcW w:w="2683" w:type="dxa"/>
            <w:vAlign w:val="center"/>
          </w:tcPr>
          <w:p w14:paraId="71A5D44A"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i/>
                <w:sz w:val="20"/>
              </w:rPr>
              <w:t>idem</w:t>
            </w:r>
          </w:p>
        </w:tc>
        <w:tc>
          <w:tcPr>
            <w:tcW w:w="6157" w:type="dxa"/>
          </w:tcPr>
          <w:p w14:paraId="71A5D44B" w14:textId="77777777" w:rsidR="009F3643" w:rsidRPr="00CF439B" w:rsidRDefault="009F3643">
            <w:pPr>
              <w:rPr>
                <w:rFonts w:asciiTheme="minorHAnsi" w:hAnsiTheme="minorHAnsi" w:cstheme="minorHAnsi"/>
                <w:b/>
                <w:sz w:val="20"/>
              </w:rPr>
            </w:pPr>
          </w:p>
        </w:tc>
      </w:tr>
      <w:tr w:rsidR="009F3643" w:rsidRPr="00CF439B" w14:paraId="71A5D451" w14:textId="77777777" w:rsidTr="00CF439B">
        <w:trPr>
          <w:cantSplit/>
        </w:trPr>
        <w:tc>
          <w:tcPr>
            <w:tcW w:w="878" w:type="dxa"/>
            <w:vAlign w:val="center"/>
          </w:tcPr>
          <w:p w14:paraId="71A5D44D"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sym w:font="Wingdings" w:char="F06F"/>
            </w:r>
          </w:p>
        </w:tc>
        <w:tc>
          <w:tcPr>
            <w:tcW w:w="4286" w:type="dxa"/>
          </w:tcPr>
          <w:p w14:paraId="71A5D44E" w14:textId="77777777" w:rsidR="009F3643" w:rsidRPr="00CF439B" w:rsidRDefault="009F3643" w:rsidP="00CF439B">
            <w:pPr>
              <w:jc w:val="both"/>
              <w:rPr>
                <w:rFonts w:asciiTheme="minorHAnsi" w:hAnsiTheme="minorHAnsi" w:cstheme="minorHAnsi"/>
                <w:sz w:val="20"/>
                <w:lang w:val="en-GB"/>
              </w:rPr>
            </w:pPr>
            <w:r w:rsidRPr="00CF439B">
              <w:rPr>
                <w:rFonts w:asciiTheme="minorHAnsi" w:hAnsiTheme="minorHAnsi" w:cstheme="minorHAnsi"/>
                <w:sz w:val="20"/>
                <w:lang w:val="en-GB"/>
              </w:rPr>
              <w:t xml:space="preserve">Any building used in the holding of a drug product shall be maintained in a clean and sanitary condition, </w:t>
            </w:r>
            <w:proofErr w:type="gramStart"/>
            <w:r w:rsidRPr="00CF439B">
              <w:rPr>
                <w:rFonts w:asciiTheme="minorHAnsi" w:hAnsiTheme="minorHAnsi" w:cstheme="minorHAnsi"/>
                <w:sz w:val="20"/>
                <w:lang w:val="en-GB"/>
              </w:rPr>
              <w:t>Any</w:t>
            </w:r>
            <w:proofErr w:type="gramEnd"/>
            <w:r w:rsidRPr="00CF439B">
              <w:rPr>
                <w:rFonts w:asciiTheme="minorHAnsi" w:hAnsiTheme="minorHAnsi" w:cstheme="minorHAnsi"/>
                <w:sz w:val="20"/>
                <w:lang w:val="en-GB"/>
              </w:rPr>
              <w:t xml:space="preserve"> such building shall be free of infestation by rodents, birds, insects, and other vermin (other than laboratory animals). Trash and organic waste matter shall be held and disposed of in a timely and sanitary manner.</w:t>
            </w:r>
          </w:p>
        </w:tc>
        <w:tc>
          <w:tcPr>
            <w:tcW w:w="2683" w:type="dxa"/>
            <w:vAlign w:val="center"/>
          </w:tcPr>
          <w:p w14:paraId="71A5D44F"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i/>
                <w:sz w:val="20"/>
              </w:rPr>
              <w:t>idem</w:t>
            </w:r>
          </w:p>
        </w:tc>
        <w:tc>
          <w:tcPr>
            <w:tcW w:w="6157" w:type="dxa"/>
          </w:tcPr>
          <w:p w14:paraId="71A5D450" w14:textId="77777777" w:rsidR="009F3643" w:rsidRPr="00CF439B" w:rsidRDefault="009F3643">
            <w:pPr>
              <w:rPr>
                <w:rFonts w:asciiTheme="minorHAnsi" w:hAnsiTheme="minorHAnsi" w:cstheme="minorHAnsi"/>
                <w:b/>
                <w:sz w:val="20"/>
              </w:rPr>
            </w:pPr>
          </w:p>
        </w:tc>
      </w:tr>
      <w:tr w:rsidR="009F3643" w:rsidRPr="00CF439B" w14:paraId="71A5D456" w14:textId="77777777" w:rsidTr="00CF439B">
        <w:trPr>
          <w:cantSplit/>
        </w:trPr>
        <w:tc>
          <w:tcPr>
            <w:tcW w:w="878" w:type="dxa"/>
            <w:vAlign w:val="center"/>
          </w:tcPr>
          <w:p w14:paraId="71A5D452"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sym w:font="Wingdings" w:char="F06F"/>
            </w:r>
          </w:p>
        </w:tc>
        <w:tc>
          <w:tcPr>
            <w:tcW w:w="4286" w:type="dxa"/>
          </w:tcPr>
          <w:p w14:paraId="71A5D453" w14:textId="77777777" w:rsidR="009F3643" w:rsidRPr="00CF439B" w:rsidRDefault="009F3643" w:rsidP="00CF439B">
            <w:pPr>
              <w:jc w:val="both"/>
              <w:rPr>
                <w:rFonts w:asciiTheme="minorHAnsi" w:hAnsiTheme="minorHAnsi" w:cstheme="minorHAnsi"/>
                <w:sz w:val="20"/>
                <w:lang w:val="en-GB"/>
              </w:rPr>
            </w:pPr>
            <w:r w:rsidRPr="00CF439B">
              <w:rPr>
                <w:rFonts w:asciiTheme="minorHAnsi" w:hAnsiTheme="minorHAnsi" w:cstheme="minorHAnsi"/>
                <w:sz w:val="20"/>
                <w:lang w:val="en-GB"/>
              </w:rPr>
              <w:t>Components, drug product containers, and closures shall be stored under quarantine until they have been tested or examined, as appropriate, and released.</w:t>
            </w:r>
          </w:p>
        </w:tc>
        <w:tc>
          <w:tcPr>
            <w:tcW w:w="2683" w:type="dxa"/>
            <w:vAlign w:val="center"/>
          </w:tcPr>
          <w:p w14:paraId="71A5D454"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i/>
                <w:sz w:val="20"/>
              </w:rPr>
              <w:t>idem</w:t>
            </w:r>
          </w:p>
        </w:tc>
        <w:tc>
          <w:tcPr>
            <w:tcW w:w="6157" w:type="dxa"/>
          </w:tcPr>
          <w:p w14:paraId="71A5D455" w14:textId="77777777" w:rsidR="009F3643" w:rsidRPr="00CF439B" w:rsidRDefault="009F3643">
            <w:pPr>
              <w:rPr>
                <w:rFonts w:asciiTheme="minorHAnsi" w:hAnsiTheme="minorHAnsi" w:cstheme="minorHAnsi"/>
                <w:b/>
                <w:sz w:val="20"/>
              </w:rPr>
            </w:pPr>
          </w:p>
        </w:tc>
      </w:tr>
      <w:tr w:rsidR="009F3643" w:rsidRPr="00CF439B" w14:paraId="71A5D45C" w14:textId="77777777" w:rsidTr="00CF439B">
        <w:trPr>
          <w:cantSplit/>
        </w:trPr>
        <w:tc>
          <w:tcPr>
            <w:tcW w:w="878" w:type="dxa"/>
            <w:vAlign w:val="center"/>
          </w:tcPr>
          <w:p w14:paraId="71A5D457"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sym w:font="Wingdings" w:char="F06F"/>
            </w:r>
          </w:p>
        </w:tc>
        <w:tc>
          <w:tcPr>
            <w:tcW w:w="4286" w:type="dxa"/>
          </w:tcPr>
          <w:p w14:paraId="71A5D458" w14:textId="77777777" w:rsidR="009F3643" w:rsidRPr="00CF439B" w:rsidRDefault="009F3643" w:rsidP="00CF439B">
            <w:pPr>
              <w:jc w:val="both"/>
              <w:rPr>
                <w:rFonts w:asciiTheme="minorHAnsi" w:hAnsiTheme="minorHAnsi" w:cstheme="minorHAnsi"/>
                <w:sz w:val="20"/>
                <w:lang w:val="en-GB"/>
              </w:rPr>
            </w:pPr>
            <w:r w:rsidRPr="00CF439B">
              <w:rPr>
                <w:rFonts w:asciiTheme="minorHAnsi" w:hAnsiTheme="minorHAnsi" w:cstheme="minorHAnsi"/>
                <w:sz w:val="20"/>
                <w:lang w:val="en-GB"/>
              </w:rPr>
              <w:t>Materials should be handled and stored in a manner to prevent cross contamination.</w:t>
            </w:r>
          </w:p>
        </w:tc>
        <w:tc>
          <w:tcPr>
            <w:tcW w:w="2683" w:type="dxa"/>
          </w:tcPr>
          <w:p w14:paraId="71A5D45A" w14:textId="3B5BF9D5" w:rsidR="009F3643" w:rsidRPr="00CF439B" w:rsidRDefault="009F3643" w:rsidP="00CF439B">
            <w:pPr>
              <w:rPr>
                <w:rFonts w:asciiTheme="minorHAnsi" w:hAnsiTheme="minorHAnsi" w:cstheme="minorHAnsi"/>
                <w:b/>
                <w:sz w:val="20"/>
                <w:lang w:val="en-GB"/>
              </w:rPr>
            </w:pPr>
            <w:r w:rsidRPr="00CF439B">
              <w:rPr>
                <w:rFonts w:asciiTheme="minorHAnsi" w:hAnsiTheme="minorHAnsi" w:cstheme="minorHAnsi"/>
                <w:b/>
                <w:sz w:val="20"/>
                <w:lang w:val="en-GB"/>
              </w:rPr>
              <w:t>ICH Q7A, Step 5, 11.2000 Note for Guidance on Good Manufacturing Active Pharmaceutical Ingredients "7.4 storage"</w:t>
            </w:r>
          </w:p>
        </w:tc>
        <w:tc>
          <w:tcPr>
            <w:tcW w:w="6157" w:type="dxa"/>
          </w:tcPr>
          <w:p w14:paraId="71A5D45B" w14:textId="77777777" w:rsidR="009F3643" w:rsidRPr="00CF439B" w:rsidRDefault="009F3643">
            <w:pPr>
              <w:rPr>
                <w:rFonts w:asciiTheme="minorHAnsi" w:hAnsiTheme="minorHAnsi" w:cstheme="minorHAnsi"/>
                <w:b/>
                <w:sz w:val="20"/>
                <w:lang w:val="en-GB"/>
              </w:rPr>
            </w:pPr>
          </w:p>
        </w:tc>
      </w:tr>
      <w:tr w:rsidR="009F3643" w:rsidRPr="00CF439B" w14:paraId="71A5D461" w14:textId="77777777" w:rsidTr="00CF439B">
        <w:trPr>
          <w:cantSplit/>
        </w:trPr>
        <w:tc>
          <w:tcPr>
            <w:tcW w:w="878" w:type="dxa"/>
            <w:vAlign w:val="center"/>
          </w:tcPr>
          <w:p w14:paraId="71A5D45D"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sz w:val="20"/>
              </w:rPr>
              <w:sym w:font="Wingdings" w:char="F06F"/>
            </w:r>
          </w:p>
        </w:tc>
        <w:tc>
          <w:tcPr>
            <w:tcW w:w="4286" w:type="dxa"/>
          </w:tcPr>
          <w:p w14:paraId="71A5D45E" w14:textId="5434DA6B" w:rsidR="009F3643" w:rsidRPr="00CF439B" w:rsidRDefault="009F3643" w:rsidP="00CF439B">
            <w:pPr>
              <w:jc w:val="both"/>
              <w:rPr>
                <w:rFonts w:asciiTheme="minorHAnsi" w:hAnsiTheme="minorHAnsi" w:cstheme="minorHAnsi"/>
                <w:sz w:val="20"/>
                <w:lang w:val="en-GB"/>
              </w:rPr>
            </w:pPr>
            <w:r w:rsidRPr="00CF439B">
              <w:rPr>
                <w:rFonts w:asciiTheme="minorHAnsi" w:hAnsiTheme="minorHAnsi" w:cstheme="minorHAnsi"/>
                <w:sz w:val="20"/>
                <w:lang w:val="en-GB"/>
              </w:rPr>
              <w:t xml:space="preserve">Unless there is an alternative system to prevent the unintentional and unauthorised use of quarantined, rejected, returned or recalled materials, separate storage areas should be assigned for their temporary storage until the decision as to their future use has </w:t>
            </w:r>
            <w:r w:rsidR="00CF439B">
              <w:rPr>
                <w:rFonts w:asciiTheme="minorHAnsi" w:hAnsiTheme="minorHAnsi" w:cstheme="minorHAnsi"/>
                <w:sz w:val="20"/>
                <w:lang w:val="en-GB"/>
              </w:rPr>
              <w:t>b</w:t>
            </w:r>
            <w:r w:rsidRPr="00CF439B">
              <w:rPr>
                <w:rFonts w:asciiTheme="minorHAnsi" w:hAnsiTheme="minorHAnsi" w:cstheme="minorHAnsi"/>
                <w:sz w:val="20"/>
                <w:lang w:val="en-GB"/>
              </w:rPr>
              <w:t>een taken.</w:t>
            </w:r>
          </w:p>
        </w:tc>
        <w:tc>
          <w:tcPr>
            <w:tcW w:w="2683" w:type="dxa"/>
            <w:vAlign w:val="center"/>
          </w:tcPr>
          <w:p w14:paraId="71A5D45F" w14:textId="77777777" w:rsidR="009F3643" w:rsidRPr="00CF439B" w:rsidRDefault="009F3643">
            <w:pPr>
              <w:jc w:val="center"/>
              <w:rPr>
                <w:rFonts w:asciiTheme="minorHAnsi" w:hAnsiTheme="minorHAnsi" w:cstheme="minorHAnsi"/>
                <w:b/>
                <w:sz w:val="20"/>
              </w:rPr>
            </w:pPr>
            <w:r w:rsidRPr="00CF439B">
              <w:rPr>
                <w:rFonts w:asciiTheme="minorHAnsi" w:hAnsiTheme="minorHAnsi" w:cstheme="minorHAnsi"/>
                <w:b/>
                <w:i/>
                <w:sz w:val="20"/>
              </w:rPr>
              <w:t>idem</w:t>
            </w:r>
          </w:p>
        </w:tc>
        <w:tc>
          <w:tcPr>
            <w:tcW w:w="6157" w:type="dxa"/>
          </w:tcPr>
          <w:p w14:paraId="71A5D460" w14:textId="77777777" w:rsidR="009F3643" w:rsidRPr="00CF439B" w:rsidRDefault="009F3643">
            <w:pPr>
              <w:rPr>
                <w:rFonts w:asciiTheme="minorHAnsi" w:hAnsiTheme="minorHAnsi" w:cstheme="minorHAnsi"/>
                <w:b/>
                <w:sz w:val="20"/>
              </w:rPr>
            </w:pPr>
          </w:p>
        </w:tc>
      </w:tr>
    </w:tbl>
    <w:p w14:paraId="71A5D462" w14:textId="3A15C9F9" w:rsidR="009F3643" w:rsidRPr="00CF439B" w:rsidRDefault="00CF439B" w:rsidP="00CF439B">
      <w:pPr>
        <w:jc w:val="center"/>
        <w:rPr>
          <w:rFonts w:asciiTheme="minorHAnsi" w:hAnsiTheme="minorHAnsi" w:cstheme="minorHAnsi"/>
        </w:rPr>
      </w:pPr>
      <w:r w:rsidRPr="00CF439B">
        <w:rPr>
          <w:rFonts w:asciiTheme="minorHAnsi" w:hAnsiTheme="minorHAnsi" w:cstheme="minorHAnsi"/>
        </w:rPr>
        <w:t>_____</w:t>
      </w:r>
    </w:p>
    <w:sectPr w:rsidR="009F3643" w:rsidRPr="00CF439B" w:rsidSect="00CF439B">
      <w:footerReference w:type="default" r:id="rId7"/>
      <w:pgSz w:w="16840" w:h="11907" w:orient="landscape" w:code="9"/>
      <w:pgMar w:top="851"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A5D465" w14:textId="77777777" w:rsidR="00F167A3" w:rsidRDefault="00F167A3">
      <w:r>
        <w:separator/>
      </w:r>
    </w:p>
  </w:endnote>
  <w:endnote w:type="continuationSeparator" w:id="0">
    <w:p w14:paraId="71A5D466" w14:textId="77777777" w:rsidR="00F167A3" w:rsidRDefault="00F16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5D467" w14:textId="6FFE041E" w:rsidR="000F59E2" w:rsidRPr="000F59E2" w:rsidRDefault="000F59E2">
    <w:pPr>
      <w:pStyle w:val="Pieddepage"/>
      <w:jc w:val="right"/>
      <w:rPr>
        <w:rFonts w:ascii="Tw Cen MT" w:hAnsi="Tw Cen MT"/>
      </w:rPr>
    </w:pPr>
    <w:r w:rsidRPr="000F59E2">
      <w:rPr>
        <w:rFonts w:ascii="Tw Cen MT" w:hAnsi="Tw Cen MT"/>
      </w:rPr>
      <w:t xml:space="preserve">SUNNIKAN Consulting / </w:t>
    </w:r>
    <w:r w:rsidRPr="000F59E2">
      <w:rPr>
        <w:rFonts w:ascii="Tw Cen MT" w:hAnsi="Tw Cen MT"/>
      </w:rPr>
      <w:fldChar w:fldCharType="begin"/>
    </w:r>
    <w:r w:rsidRPr="000F59E2">
      <w:rPr>
        <w:rFonts w:ascii="Tw Cen MT" w:hAnsi="Tw Cen MT"/>
      </w:rPr>
      <w:instrText xml:space="preserve"> FILENAME </w:instrText>
    </w:r>
    <w:r w:rsidRPr="000F59E2">
      <w:rPr>
        <w:rFonts w:ascii="Tw Cen MT" w:hAnsi="Tw Cen MT"/>
      </w:rPr>
      <w:fldChar w:fldCharType="separate"/>
    </w:r>
    <w:r w:rsidRPr="000F59E2">
      <w:rPr>
        <w:rFonts w:ascii="Tw Cen MT" w:hAnsi="Tw Cen MT"/>
        <w:noProof/>
      </w:rPr>
      <w:t>PEC_Stockage_CL.doc</w:t>
    </w:r>
    <w:r w:rsidRPr="000F59E2">
      <w:rPr>
        <w:rFonts w:ascii="Tw Cen MT" w:hAnsi="Tw Cen MT"/>
      </w:rPr>
      <w:fldChar w:fldCharType="end"/>
    </w:r>
    <w:r w:rsidRPr="000F59E2">
      <w:rPr>
        <w:rFonts w:ascii="Tw Cen MT" w:hAnsi="Tw Cen MT"/>
      </w:rPr>
      <w:t xml:space="preserve"> / </w:t>
    </w:r>
    <w:r w:rsidRPr="000F59E2">
      <w:rPr>
        <w:rFonts w:ascii="Tw Cen MT" w:hAnsi="Tw Cen MT"/>
      </w:rPr>
      <w:fldChar w:fldCharType="begin"/>
    </w:r>
    <w:r w:rsidRPr="000F59E2">
      <w:rPr>
        <w:rFonts w:ascii="Tw Cen MT" w:hAnsi="Tw Cen MT"/>
      </w:rPr>
      <w:instrText xml:space="preserve"> DATE  \@ "d MMMM yyyy"  \* MERGEFORMAT </w:instrText>
    </w:r>
    <w:r w:rsidRPr="000F59E2">
      <w:rPr>
        <w:rFonts w:ascii="Tw Cen MT" w:hAnsi="Tw Cen MT"/>
      </w:rPr>
      <w:fldChar w:fldCharType="separate"/>
    </w:r>
    <w:r w:rsidR="00CF439B">
      <w:rPr>
        <w:rFonts w:ascii="Tw Cen MT" w:hAnsi="Tw Cen MT"/>
        <w:noProof/>
      </w:rPr>
      <w:t>22 novembre 2019</w:t>
    </w:r>
    <w:r w:rsidRPr="000F59E2">
      <w:rPr>
        <w:rFonts w:ascii="Tw Cen MT" w:hAnsi="Tw Cen MT"/>
      </w:rPr>
      <w:fldChar w:fldCharType="end"/>
    </w:r>
    <w:r w:rsidRPr="000F59E2">
      <w:rPr>
        <w:rFonts w:ascii="Tw Cen MT" w:hAnsi="Tw Cen MT"/>
      </w:rPr>
      <w:t xml:space="preserve"> / Page </w:t>
    </w:r>
    <w:r w:rsidRPr="000F59E2">
      <w:rPr>
        <w:rFonts w:ascii="Tw Cen MT" w:hAnsi="Tw Cen MT"/>
      </w:rPr>
      <w:fldChar w:fldCharType="begin"/>
    </w:r>
    <w:r w:rsidRPr="000F59E2">
      <w:rPr>
        <w:rFonts w:ascii="Tw Cen MT" w:hAnsi="Tw Cen MT"/>
      </w:rPr>
      <w:instrText xml:space="preserve"> PAGE   \* MERGEFORMAT </w:instrText>
    </w:r>
    <w:r w:rsidRPr="000F59E2">
      <w:rPr>
        <w:rFonts w:ascii="Tw Cen MT" w:hAnsi="Tw Cen MT"/>
      </w:rPr>
      <w:fldChar w:fldCharType="separate"/>
    </w:r>
    <w:r w:rsidR="00C843EA">
      <w:rPr>
        <w:rFonts w:ascii="Tw Cen MT" w:hAnsi="Tw Cen MT"/>
        <w:noProof/>
      </w:rPr>
      <w:t>1</w:t>
    </w:r>
    <w:r w:rsidRPr="000F59E2">
      <w:rPr>
        <w:rFonts w:ascii="Tw Cen MT" w:hAnsi="Tw Cen MT"/>
      </w:rPr>
      <w:fldChar w:fldCharType="end"/>
    </w:r>
    <w:r w:rsidRPr="000F59E2">
      <w:rPr>
        <w:rFonts w:ascii="Tw Cen MT" w:hAnsi="Tw Cen MT"/>
      </w:rPr>
      <w:t>/</w:t>
    </w:r>
    <w:r w:rsidRPr="000F59E2">
      <w:rPr>
        <w:rFonts w:ascii="Tw Cen MT" w:hAnsi="Tw Cen MT"/>
      </w:rPr>
      <w:fldChar w:fldCharType="begin"/>
    </w:r>
    <w:r w:rsidRPr="000F59E2">
      <w:rPr>
        <w:rFonts w:ascii="Tw Cen MT" w:hAnsi="Tw Cen MT"/>
      </w:rPr>
      <w:instrText xml:space="preserve"> NUMPAGES   \* MERGEFORMAT </w:instrText>
    </w:r>
    <w:r w:rsidRPr="000F59E2">
      <w:rPr>
        <w:rFonts w:ascii="Tw Cen MT" w:hAnsi="Tw Cen MT"/>
      </w:rPr>
      <w:fldChar w:fldCharType="separate"/>
    </w:r>
    <w:r w:rsidR="00C843EA">
      <w:rPr>
        <w:rFonts w:ascii="Tw Cen MT" w:hAnsi="Tw Cen MT"/>
        <w:noProof/>
      </w:rPr>
      <w:t>4</w:t>
    </w:r>
    <w:r w:rsidRPr="000F59E2">
      <w:rPr>
        <w:rFonts w:ascii="Tw Cen MT" w:hAnsi="Tw Cen MT"/>
      </w:rPr>
      <w:fldChar w:fldCharType="end"/>
    </w:r>
  </w:p>
  <w:p w14:paraId="71A5D468" w14:textId="77777777" w:rsidR="009F3643" w:rsidRDefault="009F364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A5D463" w14:textId="77777777" w:rsidR="00F167A3" w:rsidRDefault="00F167A3">
      <w:r>
        <w:separator/>
      </w:r>
    </w:p>
  </w:footnote>
  <w:footnote w:type="continuationSeparator" w:id="0">
    <w:p w14:paraId="71A5D464" w14:textId="77777777" w:rsidR="00F167A3" w:rsidRDefault="00F167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497232"/>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39B93358"/>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6D594F73"/>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6E1D222D"/>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7D0D2A1E"/>
    <w:multiLevelType w:val="singleLevel"/>
    <w:tmpl w:val="1470605C"/>
    <w:lvl w:ilvl="0">
      <w:start w:val="1"/>
      <w:numFmt w:val="bullet"/>
      <w:pStyle w:val="B1"/>
      <w:lvlText w:val=""/>
      <w:lvlJc w:val="left"/>
      <w:pPr>
        <w:tabs>
          <w:tab w:val="num" w:pos="927"/>
        </w:tabs>
        <w:ind w:left="340" w:firstLine="227"/>
      </w:pPr>
      <w:rPr>
        <w:rFonts w:ascii="Symbol" w:hAnsi="Symbol" w:hint="default"/>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9E2"/>
    <w:rsid w:val="000F59E2"/>
    <w:rsid w:val="001B3D54"/>
    <w:rsid w:val="009F3643"/>
    <w:rsid w:val="00C843EA"/>
    <w:rsid w:val="00CF439B"/>
    <w:rsid w:val="00F167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6"/>
    <o:shapelayout v:ext="edit">
      <o:idmap v:ext="edit" data="1"/>
    </o:shapelayout>
  </w:shapeDefaults>
  <w:decimalSymbol w:val=","/>
  <w:listSeparator w:val=";"/>
  <w14:docId w14:val="71A5D39D"/>
  <w15:docId w15:val="{85656B99-589A-4F27-961F-BBA02F738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439B"/>
    <w:rPr>
      <w:rFonts w:ascii="Calibri" w:hAnsi="Calibri"/>
      <w:sz w:val="18"/>
    </w:rPr>
  </w:style>
  <w:style w:type="paragraph" w:styleId="Titre1">
    <w:name w:val="heading 1"/>
    <w:basedOn w:val="Normal"/>
    <w:next w:val="Normal"/>
    <w:qFormat/>
    <w:pPr>
      <w:keepNext/>
      <w:shd w:val="pct20" w:color="auto" w:fill="FFFFFF"/>
      <w:spacing w:before="480" w:after="60"/>
      <w:outlineLvl w:val="0"/>
    </w:pPr>
    <w:rPr>
      <w:rFonts w:ascii="Univers" w:hAnsi="Univers"/>
      <w:b/>
      <w:kern w:val="28"/>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1">
    <w:name w:val="B1"/>
    <w:basedOn w:val="Normal"/>
    <w:pPr>
      <w:numPr>
        <w:numId w:val="1"/>
      </w:numPr>
      <w:tabs>
        <w:tab w:val="left" w:pos="851"/>
      </w:tabs>
      <w:spacing w:before="60" w:after="120"/>
    </w:pPr>
    <w:rPr>
      <w:rFonts w:ascii="Univers" w:hAnsi="Univers"/>
      <w:sz w:val="22"/>
    </w:r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character" w:styleId="Lienhypertexte">
    <w:name w:val="Hyperlink"/>
    <w:rPr>
      <w:color w:val="0000FF"/>
      <w:u w:val="single"/>
    </w:rPr>
  </w:style>
  <w:style w:type="paragraph" w:styleId="Textedebulles">
    <w:name w:val="Balloon Text"/>
    <w:basedOn w:val="Normal"/>
    <w:link w:val="TextedebullesCar"/>
    <w:uiPriority w:val="99"/>
    <w:semiHidden/>
    <w:unhideWhenUsed/>
    <w:rsid w:val="001B3D54"/>
    <w:rPr>
      <w:rFonts w:ascii="Tahoma" w:hAnsi="Tahoma" w:cs="Tahoma"/>
      <w:sz w:val="16"/>
      <w:szCs w:val="16"/>
    </w:rPr>
  </w:style>
  <w:style w:type="character" w:customStyle="1" w:styleId="TextedebullesCar">
    <w:name w:val="Texte de bulles Car"/>
    <w:link w:val="Textedebulles"/>
    <w:uiPriority w:val="99"/>
    <w:semiHidden/>
    <w:rsid w:val="001B3D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953</Words>
  <Characters>5367</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Check-list concernant les locaux de stockage des PEC</vt:lpstr>
    </vt:vector>
  </TitlesOfParts>
  <Company>SUNNIKAN Consulting</Company>
  <LinksUpToDate>false</LinksUpToDate>
  <CharactersWithSpaces>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concernant les locaux de stockage des PEC</dc:title>
  <dc:subject/>
  <dc:creator>Pierre JOUBERT</dc:creator>
  <cp:keywords/>
  <dc:description/>
  <cp:lastModifiedBy>Georges MARTIN</cp:lastModifiedBy>
  <cp:revision>3</cp:revision>
  <cp:lastPrinted>2003-01-02T14:20:00Z</cp:lastPrinted>
  <dcterms:created xsi:type="dcterms:W3CDTF">2012-08-29T17:43:00Z</dcterms:created>
  <dcterms:modified xsi:type="dcterms:W3CDTF">2019-11-22T17:24:00Z</dcterms:modified>
</cp:coreProperties>
</file>