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C2AB5C" w14:textId="77777777" w:rsidR="00956C0B" w:rsidRDefault="00633167" w:rsidP="00633167">
      <w:pPr>
        <w:pStyle w:val="Titre"/>
        <w:rPr>
          <w:lang w:val="fr-FR"/>
        </w:rPr>
      </w:pPr>
      <w:r>
        <w:rPr>
          <w:lang w:val="fr-FR"/>
        </w:rPr>
        <w:t>Management of the IMPs</w:t>
      </w:r>
    </w:p>
    <w:p w14:paraId="37C2AB5E" w14:textId="77777777" w:rsidR="00633167" w:rsidRPr="00633167" w:rsidRDefault="00633167" w:rsidP="001C0953">
      <w:pPr>
        <w:rPr>
          <w:b/>
          <w:lang w:val="fr-FR"/>
        </w:rPr>
      </w:pPr>
      <w:r w:rsidRPr="00633167">
        <w:rPr>
          <w:highlight w:val="yellow"/>
          <w:lang w:val="fr-FR"/>
        </w:rPr>
        <w:t>À ajouter dans la procédure xml pour les particularités des thérapies géniques :</w:t>
      </w:r>
    </w:p>
    <w:p w14:paraId="37C2AB5F" w14:textId="77777777" w:rsidR="00633167" w:rsidRDefault="00633167" w:rsidP="00633167">
      <w:pPr>
        <w:pStyle w:val="Titre1"/>
        <w:rPr>
          <w:lang w:val="fr-FR"/>
        </w:rPr>
      </w:pPr>
      <w:r>
        <w:rPr>
          <w:lang w:val="fr-FR"/>
        </w:rPr>
        <w:t>Principles</w:t>
      </w:r>
    </w:p>
    <w:p w14:paraId="37C2AB60" w14:textId="77777777" w:rsidR="00633167" w:rsidRDefault="00633167" w:rsidP="00633167">
      <w:pPr>
        <w:rPr>
          <w:rStyle w:val="Accentuation"/>
        </w:rPr>
      </w:pPr>
      <w:r>
        <w:t>"</w:t>
      </w:r>
      <w:r>
        <w:rPr>
          <w:rStyle w:val="Accentuation"/>
        </w:rPr>
        <w:t xml:space="preserve">19. Where an </w:t>
      </w:r>
      <w:r>
        <w:rPr>
          <w:rStyle w:val="lev"/>
          <w:i/>
          <w:iCs/>
        </w:rPr>
        <w:t>ATIMP contains human cells or tissues</w:t>
      </w:r>
      <w:r>
        <w:rPr>
          <w:rStyle w:val="Accentuation"/>
        </w:rPr>
        <w:t>, the sponsor of the trial, the manufacturer and the investigator/institution where the product is used</w:t>
      </w:r>
      <w:r>
        <w:rPr>
          <w:rStyle w:val="lev"/>
          <w:i/>
          <w:iCs/>
        </w:rPr>
        <w:t xml:space="preserve"> should ensure that there is a traceability system in place complementary</w:t>
      </w:r>
      <w:r>
        <w:rPr>
          <w:rStyle w:val="Accentuation"/>
        </w:rPr>
        <w:t xml:space="preserve"> to, and compatible with, the </w:t>
      </w:r>
      <w:r>
        <w:rPr>
          <w:rStyle w:val="lev"/>
          <w:i/>
          <w:iCs/>
        </w:rPr>
        <w:t>requirements laid down in the Directives referred in section 3</w:t>
      </w:r>
      <w:r>
        <w:rPr>
          <w:rStyle w:val="Accentuation"/>
        </w:rPr>
        <w:t>, which already set out the traceability requirements for tissue and blood establishments. (..).</w:t>
      </w:r>
    </w:p>
    <w:p w14:paraId="37C2AB61" w14:textId="77777777" w:rsidR="00633167" w:rsidRPr="00633167" w:rsidRDefault="00633167" w:rsidP="00633167">
      <w:pPr>
        <w:rPr>
          <w:lang w:val="en-US"/>
        </w:rPr>
      </w:pPr>
      <w:r>
        <w:rPr>
          <w:rStyle w:val="Accentuation"/>
        </w:rPr>
        <w:t xml:space="preserve">22. Traceability requirements should also be </w:t>
      </w:r>
      <w:r>
        <w:rPr>
          <w:rStyle w:val="lev"/>
          <w:i/>
          <w:iCs/>
        </w:rPr>
        <w:t>compatible with the requirements in Annexes 2 to the GMP Guidelines and 13 to the GMP Guidelines as amended for the specific requirements of ATIMP</w:t>
      </w:r>
      <w:r w:rsidRPr="00633167">
        <w:rPr>
          <w:rStyle w:val="Accentuation"/>
          <w:b/>
        </w:rPr>
        <w:t>s</w:t>
      </w:r>
      <w:r>
        <w:rPr>
          <w:rStyle w:val="Accentuation"/>
        </w:rPr>
        <w:t xml:space="preserve">." </w:t>
      </w:r>
      <w:r>
        <w:t>(</w:t>
      </w:r>
      <w:hyperlink r:id="rId7" w:history="1">
        <w:r>
          <w:rPr>
            <w:rStyle w:val="Lienhypertexte"/>
          </w:rPr>
          <w:t>Detailed guidelines on Good Clinical Practice specific to advanced therapy medicinal products, European Commission, December 2009</w:t>
        </w:r>
      </w:hyperlink>
      <w:r>
        <w:t>)</w:t>
      </w:r>
    </w:p>
    <w:p w14:paraId="37C2AB63" w14:textId="77777777" w:rsidR="00633167" w:rsidRPr="00633167" w:rsidRDefault="00633167" w:rsidP="00633167">
      <w:pPr>
        <w:pStyle w:val="Titre1"/>
        <w:rPr>
          <w:lang w:val="fr-FR"/>
        </w:rPr>
      </w:pPr>
      <w:r w:rsidRPr="00633167">
        <w:rPr>
          <w:lang w:val="fr-FR"/>
        </w:rPr>
        <w:t>Specific references</w:t>
      </w:r>
    </w:p>
    <w:p w14:paraId="37C2AB64" w14:textId="77777777" w:rsidR="007100FE" w:rsidRPr="007100FE" w:rsidRDefault="007100FE" w:rsidP="007100FE">
      <w:pPr>
        <w:pStyle w:val="B1"/>
        <w:rPr>
          <w:lang w:val="en-US"/>
        </w:rPr>
      </w:pPr>
      <w:r w:rsidRPr="007100FE">
        <w:rPr>
          <w:lang w:val="en-US"/>
        </w:rPr>
        <w:t xml:space="preserve">Directive 2005/28/CE laying down principles and detailed guidelines for good clinical practice as regards investigational </w:t>
      </w:r>
      <w:bookmarkStart w:id="0" w:name="_GoBack"/>
      <w:bookmarkEnd w:id="0"/>
      <w:r w:rsidRPr="007100FE">
        <w:rPr>
          <w:lang w:val="en-US"/>
        </w:rPr>
        <w:t>medicinal products for human use, as well as the requirements for authorisation of the manufacturing or importation of such products, 8 April 2005</w:t>
      </w:r>
    </w:p>
    <w:p w14:paraId="37C2AB65" w14:textId="77777777" w:rsidR="00E25B58" w:rsidRDefault="00633167" w:rsidP="00633167">
      <w:pPr>
        <w:pStyle w:val="B1"/>
        <w:rPr>
          <w:lang w:val="fr-FR"/>
        </w:rPr>
      </w:pPr>
      <w:r w:rsidRPr="00636503">
        <w:rPr>
          <w:lang w:val="fr-FR"/>
        </w:rPr>
        <w:t xml:space="preserve">Pour les IMP avec OGM : </w:t>
      </w:r>
    </w:p>
    <w:p w14:paraId="37C2AB66" w14:textId="77777777" w:rsidR="00E25B58" w:rsidRPr="00E25B58" w:rsidRDefault="00E25B58" w:rsidP="00E25B58">
      <w:pPr>
        <w:rPr>
          <w:lang w:val="fr-FR"/>
        </w:rPr>
      </w:pPr>
      <w:r>
        <w:rPr>
          <w:rStyle w:val="Accentuation"/>
          <w:lang w:val="fr-FR"/>
        </w:rPr>
        <w:t>"</w:t>
      </w:r>
      <w:r w:rsidRPr="00E25B58">
        <w:rPr>
          <w:rStyle w:val="Accentuation"/>
          <w:lang w:val="fr-FR"/>
        </w:rPr>
        <w:t>4.1 Quelles sont les mentions d’étiquetage d’un médicament expérimental contenant un organisme génétiquement modifié (OGM) ?</w:t>
      </w:r>
    </w:p>
    <w:p w14:paraId="37C2AB67" w14:textId="77777777" w:rsidR="00E25B58" w:rsidRPr="00E25B58" w:rsidRDefault="00E25B58" w:rsidP="00E25B58">
      <w:pPr>
        <w:rPr>
          <w:lang w:val="fr-FR"/>
        </w:rPr>
      </w:pPr>
      <w:r w:rsidRPr="00E25B58">
        <w:rPr>
          <w:rStyle w:val="Accentuation"/>
          <w:lang w:val="fr-FR"/>
        </w:rPr>
        <w:t xml:space="preserve">Les mentions d’étiquetage de ces médicaments expérimentaux (ME) suivent les règles générales applicables aux ME prévues par les BPF (points 26 et suivants de la LD13 des BPF, décision du directeur général de l’Afssaps du 13 janvier 2011 relative aux BPF) auxquelles s’ajoutent les dispositions spécifiques prévues pour les organismes génétiquement modifiés, </w:t>
      </w:r>
      <w:r w:rsidRPr="00E25B58">
        <w:rPr>
          <w:rStyle w:val="lev"/>
          <w:i/>
          <w:iCs/>
          <w:lang w:val="fr-FR"/>
        </w:rPr>
        <w:t>c’est-à-dire l’article D.532-24 du code de l’environnement</w:t>
      </w:r>
      <w:r w:rsidRPr="00E25B58">
        <w:rPr>
          <w:rStyle w:val="Accentuation"/>
          <w:lang w:val="fr-FR"/>
        </w:rPr>
        <w:t xml:space="preserve"> qui dispose :</w:t>
      </w:r>
    </w:p>
    <w:p w14:paraId="37C2AB68" w14:textId="77777777" w:rsidR="00633167" w:rsidRPr="00633167" w:rsidRDefault="00633167" w:rsidP="00633167">
      <w:pPr>
        <w:rPr>
          <w:i/>
          <w:lang w:val="fr-FR"/>
        </w:rPr>
      </w:pPr>
      <w:r w:rsidRPr="00633167">
        <w:rPr>
          <w:i/>
          <w:lang w:val="fr-FR"/>
        </w:rPr>
        <w:t>Lorsque les organismes génétiquement modifiés sont mis à disposition de tiers en vue d'une utilisation confinée, ils sont munis d'une étiquette ou accompagnés d'un document indiquant :</w:t>
      </w:r>
    </w:p>
    <w:p w14:paraId="37C2AB69" w14:textId="77777777" w:rsidR="00633167" w:rsidRPr="00633167" w:rsidRDefault="00633167" w:rsidP="00636503">
      <w:pPr>
        <w:pStyle w:val="B2"/>
        <w:rPr>
          <w:lang w:val="fr-FR"/>
        </w:rPr>
      </w:pPr>
      <w:r w:rsidRPr="00633167">
        <w:rPr>
          <w:lang w:val="fr-FR"/>
        </w:rPr>
        <w:t xml:space="preserve">le nom de l'OGM ; </w:t>
      </w:r>
    </w:p>
    <w:p w14:paraId="37C2AB6A" w14:textId="77777777" w:rsidR="00633167" w:rsidRPr="00633167" w:rsidRDefault="00633167" w:rsidP="00636503">
      <w:pPr>
        <w:pStyle w:val="B2"/>
        <w:rPr>
          <w:lang w:val="fr-FR"/>
        </w:rPr>
      </w:pPr>
      <w:r w:rsidRPr="00633167">
        <w:rPr>
          <w:lang w:val="fr-FR"/>
        </w:rPr>
        <w:t xml:space="preserve">le nom et l’adresse complète de la personne responsable de la mise à disposition ; </w:t>
      </w:r>
    </w:p>
    <w:p w14:paraId="37C2AB6B" w14:textId="77777777" w:rsidR="00633167" w:rsidRPr="00633167" w:rsidRDefault="00633167" w:rsidP="00636503">
      <w:pPr>
        <w:pStyle w:val="B2"/>
        <w:rPr>
          <w:lang w:val="fr-FR"/>
        </w:rPr>
      </w:pPr>
      <w:r w:rsidRPr="00633167">
        <w:rPr>
          <w:lang w:val="fr-FR"/>
        </w:rPr>
        <w:t xml:space="preserve">une mention spécifiant « Contient des organismes génétiquement modifiés ». </w:t>
      </w:r>
    </w:p>
    <w:p w14:paraId="37C2AB6C" w14:textId="77777777" w:rsidR="00633167" w:rsidRPr="00633167" w:rsidRDefault="00633167" w:rsidP="00633167">
      <w:pPr>
        <w:rPr>
          <w:i/>
          <w:lang w:val="fr-FR"/>
        </w:rPr>
      </w:pPr>
      <w:r w:rsidRPr="00633167">
        <w:rPr>
          <w:i/>
          <w:lang w:val="fr-FR"/>
        </w:rPr>
        <w:t>Le cas échéant, l’étiquetage doit être complété dans les conditions prévues au 7 du B de l'annexe IV de la directive du 12 mars 2001 relative à la dissémination volontaire d'OGM dans l'environnement.</w:t>
      </w:r>
    </w:p>
    <w:p w14:paraId="37C2AB6D" w14:textId="77777777" w:rsidR="00633167" w:rsidRPr="00633167" w:rsidRDefault="00633167" w:rsidP="00633167">
      <w:pPr>
        <w:rPr>
          <w:i/>
          <w:lang w:val="fr-FR"/>
        </w:rPr>
      </w:pPr>
      <w:r w:rsidRPr="00633167">
        <w:rPr>
          <w:i/>
          <w:lang w:val="fr-FR"/>
        </w:rPr>
        <w:t>Seule la mention « Contient des organismes génétiquement modifiés » est à ajouter aux mentions d’étiquetage d’un médicament expérimental prévues aux points 26 et suivants de la LD13 des BPF sous réserve que :</w:t>
      </w:r>
    </w:p>
    <w:p w14:paraId="37C2AB6E" w14:textId="77777777" w:rsidR="00633167" w:rsidRPr="00E25B58" w:rsidRDefault="00633167" w:rsidP="00633167">
      <w:pPr>
        <w:rPr>
          <w:lang w:val="fr-FR"/>
        </w:rPr>
      </w:pPr>
      <w:r w:rsidRPr="00633167">
        <w:rPr>
          <w:i/>
          <w:lang w:val="fr-FR"/>
        </w:rPr>
        <w:t>- le nom de l’OGM corresponde à l’une des mentions prévues au b) du point 26 de la LD13 des BPF</w:t>
      </w:r>
      <w:r w:rsidRPr="00633167">
        <w:rPr>
          <w:i/>
          <w:lang w:val="fr-FR"/>
        </w:rPr>
        <w:br/>
        <w:t>- et le nom et l’adresse complète de la personne responsable de la mise à disposition corresponde à l’une des mentions prévues au a) du point 26</w:t>
      </w:r>
      <w:r w:rsidRPr="00633167">
        <w:rPr>
          <w:lang w:val="fr-FR"/>
        </w:rPr>
        <w:t xml:space="preserve">." </w:t>
      </w:r>
      <w:r w:rsidR="00E25B58" w:rsidRPr="00E25B58">
        <w:rPr>
          <w:color w:val="0000FF"/>
          <w:u w:val="single"/>
          <w:lang w:val="fr-FR"/>
        </w:rPr>
        <w:t>(</w:t>
      </w:r>
      <w:hyperlink r:id="rId8" w:history="1">
        <w:r w:rsidR="00E25B58" w:rsidRPr="00E25B58">
          <w:rPr>
            <w:rStyle w:val="Lienhypertexte"/>
            <w:lang w:val="fr-FR"/>
          </w:rPr>
          <w:t>Afssaps, Foire Aux Questions sur les Recherches Biomédicales, version 5.0, octobre 2011</w:t>
        </w:r>
      </w:hyperlink>
      <w:r w:rsidR="00E25B58" w:rsidRPr="00E25B58">
        <w:rPr>
          <w:lang w:val="fr-FR"/>
        </w:rPr>
        <w:t>)</w:t>
      </w:r>
    </w:p>
    <w:p w14:paraId="37C2AB70" w14:textId="70B03475" w:rsidR="008010BA" w:rsidRPr="008010BA" w:rsidRDefault="008010BA" w:rsidP="006F15A2">
      <w:pPr>
        <w:pStyle w:val="Titre1"/>
        <w:rPr>
          <w:lang w:val="fr-FR"/>
        </w:rPr>
      </w:pPr>
      <w:r w:rsidRPr="008010BA">
        <w:rPr>
          <w:lang w:val="fr-FR"/>
        </w:rPr>
        <w:t>Import of IMPs</w:t>
      </w:r>
    </w:p>
    <w:p w14:paraId="37C2AB71" w14:textId="77777777" w:rsidR="00633167" w:rsidRPr="008010BA" w:rsidRDefault="008010BA" w:rsidP="008010BA">
      <w:pPr>
        <w:rPr>
          <w:lang w:val="fr-FR"/>
        </w:rPr>
      </w:pPr>
      <w:r>
        <w:rPr>
          <w:lang w:val="fr-FR"/>
        </w:rPr>
        <w:t>Ne</w:t>
      </w:r>
      <w:r w:rsidRPr="008010BA">
        <w:rPr>
          <w:lang w:val="fr-FR"/>
        </w:rPr>
        <w:t xml:space="preserve"> faudrait</w:t>
      </w:r>
      <w:r>
        <w:rPr>
          <w:lang w:val="fr-FR"/>
        </w:rPr>
        <w:t>-il</w:t>
      </w:r>
      <w:r w:rsidRPr="008010BA">
        <w:rPr>
          <w:lang w:val="fr-FR"/>
        </w:rPr>
        <w:t xml:space="preserve"> a</w:t>
      </w:r>
      <w:r>
        <w:rPr>
          <w:lang w:val="fr-FR"/>
        </w:rPr>
        <w:t>jouter que l'autorisation de la recherche vaut autorisation d'importation et ne pas systématiquement renvoyer vers une procédure particulière ?</w:t>
      </w:r>
    </w:p>
    <w:p w14:paraId="37C2AB73" w14:textId="0392F6D8" w:rsidR="009C6ED1" w:rsidRPr="009C6ED1" w:rsidRDefault="009C6ED1" w:rsidP="009C6ED1">
      <w:pPr>
        <w:rPr>
          <w:lang w:val="fr-FR"/>
        </w:rPr>
      </w:pPr>
      <w:r>
        <w:rPr>
          <w:lang w:val="fr-FR"/>
        </w:rPr>
        <w:t>Pour thérapie génique :</w:t>
      </w:r>
      <w:r w:rsidR="006F15A2">
        <w:rPr>
          <w:lang w:val="fr-FR"/>
        </w:rPr>
        <w:t xml:space="preserve"> </w:t>
      </w:r>
      <w:r w:rsidRPr="009C6ED1">
        <w:rPr>
          <w:lang w:val="fr-FR"/>
        </w:rPr>
        <w:t>"</w:t>
      </w:r>
      <w:r w:rsidRPr="009C6ED1">
        <w:rPr>
          <w:i/>
          <w:lang w:val="fr-FR"/>
        </w:rPr>
        <w:t xml:space="preserve">Dans le cas de recherches biomédicales portant sur les préparations de thérapie génique et de thérapie cellulaire xénogénique mentionnées au 12° et au 13° de l'article L. 5121-1, </w:t>
      </w:r>
      <w:r w:rsidRPr="009C6ED1">
        <w:rPr>
          <w:b/>
          <w:i/>
          <w:lang w:val="fr-FR"/>
        </w:rPr>
        <w:t>l'autorisation de mener la recherche</w:t>
      </w:r>
      <w:r w:rsidRPr="009C6ED1">
        <w:rPr>
          <w:i/>
          <w:lang w:val="fr-FR"/>
        </w:rPr>
        <w:t xml:space="preserve"> </w:t>
      </w:r>
      <w:r w:rsidRPr="009C6ED1">
        <w:rPr>
          <w:b/>
          <w:i/>
          <w:lang w:val="fr-FR"/>
        </w:rPr>
        <w:t>vaut également autorisation</w:t>
      </w:r>
      <w:r w:rsidRPr="009C6ED1">
        <w:rPr>
          <w:i/>
          <w:lang w:val="fr-FR"/>
        </w:rPr>
        <w:t xml:space="preserve"> pour cette recherche des lieux de conservation et de préparation mentionnés aux articles L. 4211-8 et L. 4211-9, et elle vaut </w:t>
      </w:r>
      <w:r w:rsidRPr="009C6ED1">
        <w:rPr>
          <w:b/>
          <w:i/>
          <w:lang w:val="fr-FR"/>
        </w:rPr>
        <w:t>autorisation d'importation et d'exportation</w:t>
      </w:r>
      <w:r w:rsidRPr="009C6ED1">
        <w:rPr>
          <w:i/>
          <w:lang w:val="fr-FR"/>
        </w:rPr>
        <w:t xml:space="preserve"> mentionnée à l'article L. 5124-13</w:t>
      </w:r>
      <w:r w:rsidRPr="009C6ED1">
        <w:rPr>
          <w:lang w:val="fr-FR"/>
        </w:rPr>
        <w:t>." (Article L. 5124-13-1 du CSP)</w:t>
      </w:r>
    </w:p>
    <w:p w14:paraId="37C2AB74" w14:textId="32D96045" w:rsidR="009C6ED1" w:rsidRPr="008010BA" w:rsidRDefault="006F15A2" w:rsidP="006F15A2">
      <w:pPr>
        <w:jc w:val="center"/>
        <w:rPr>
          <w:lang w:val="fr-FR"/>
        </w:rPr>
      </w:pPr>
      <w:r>
        <w:rPr>
          <w:lang w:val="fr-FR"/>
        </w:rPr>
        <w:t>_____</w:t>
      </w:r>
    </w:p>
    <w:sectPr w:rsidR="009C6ED1" w:rsidRPr="008010BA" w:rsidSect="006F15A2">
      <w:headerReference w:type="default" r:id="rId9"/>
      <w:footerReference w:type="default" r:id="rId10"/>
      <w:pgSz w:w="11906" w:h="16838"/>
      <w:pgMar w:top="426" w:right="849"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2AB77" w14:textId="77777777" w:rsidR="002D5D16" w:rsidRDefault="002D5D16" w:rsidP="00D52846">
      <w:pPr>
        <w:spacing w:before="0"/>
      </w:pPr>
      <w:r>
        <w:separator/>
      </w:r>
    </w:p>
  </w:endnote>
  <w:endnote w:type="continuationSeparator" w:id="0">
    <w:p w14:paraId="37C2AB78" w14:textId="77777777" w:rsidR="002D5D16" w:rsidRDefault="002D5D16" w:rsidP="00D5284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2AB7A" w14:textId="77777777" w:rsidR="00D52846" w:rsidRDefault="002D5D16">
    <w:pPr>
      <w:pStyle w:val="Pieddepage"/>
    </w:pPr>
    <w:fldSimple w:instr=" FILENAME   \* MERGEFORMAT ">
      <w:r w:rsidR="00D52846">
        <w:t>SOPxml_Management of the IMPs_suggestionsCM.docx</w:t>
      </w:r>
    </w:fldSimple>
    <w:r w:rsidR="00D52846">
      <w:t xml:space="preserve"> - </w:t>
    </w:r>
    <w:r w:rsidR="00D52846">
      <w:fldChar w:fldCharType="begin"/>
    </w:r>
    <w:r w:rsidR="00D52846">
      <w:instrText xml:space="preserve"> PAGE   \* MERGEFORMAT </w:instrText>
    </w:r>
    <w:r w:rsidR="00D52846">
      <w:fldChar w:fldCharType="separate"/>
    </w:r>
    <w:r w:rsidR="006F15A2">
      <w:t>1</w:t>
    </w:r>
    <w:r w:rsidR="00D52846">
      <w:fldChar w:fldCharType="end"/>
    </w:r>
    <w:r w:rsidR="00D52846">
      <w:t>/</w:t>
    </w:r>
    <w:fldSimple w:instr=" NUMPAGES   \* MERGEFORMAT ">
      <w:r w:rsidR="006F15A2">
        <w:t>1</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2AB75" w14:textId="77777777" w:rsidR="002D5D16" w:rsidRDefault="002D5D16" w:rsidP="00D52846">
      <w:pPr>
        <w:spacing w:before="0"/>
      </w:pPr>
      <w:r>
        <w:separator/>
      </w:r>
    </w:p>
  </w:footnote>
  <w:footnote w:type="continuationSeparator" w:id="0">
    <w:p w14:paraId="37C2AB76" w14:textId="77777777" w:rsidR="002D5D16" w:rsidRDefault="002D5D16" w:rsidP="00D52846">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2AB79" w14:textId="77777777" w:rsidR="00D52846" w:rsidRPr="007C3889" w:rsidRDefault="007C3889" w:rsidP="007C3889">
    <w:pPr>
      <w:pStyle w:val="En-tte"/>
      <w:jc w:val="right"/>
      <w:rPr>
        <w:sz w:val="18"/>
      </w:rPr>
    </w:pPr>
    <w:r w:rsidRPr="007C3889">
      <w:rPr>
        <w:sz w:val="18"/>
        <w:lang w:val="fr-FR"/>
      </w:rPr>
      <w:t>27 mai 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832DB7E"/>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3CF26548"/>
    <w:lvl w:ilvl="0">
      <w:numFmt w:val="decimal"/>
      <w:pStyle w:val="B2"/>
      <w:lvlText w:val="*"/>
      <w:lvlJc w:val="left"/>
    </w:lvl>
  </w:abstractNum>
  <w:abstractNum w:abstractNumId="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3"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9041612"/>
    <w:multiLevelType w:val="multilevel"/>
    <w:tmpl w:val="B99A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0"/>
  </w:num>
  <w:num w:numId="2">
    <w:abstractNumId w:val="3"/>
  </w:num>
  <w:num w:numId="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2"/>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5"/>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67"/>
    <w:rsid w:val="001C0953"/>
    <w:rsid w:val="002508B4"/>
    <w:rsid w:val="002D5D16"/>
    <w:rsid w:val="00633167"/>
    <w:rsid w:val="00636503"/>
    <w:rsid w:val="006F15A2"/>
    <w:rsid w:val="007100FE"/>
    <w:rsid w:val="007C3889"/>
    <w:rsid w:val="008010BA"/>
    <w:rsid w:val="00863FF2"/>
    <w:rsid w:val="00956C0B"/>
    <w:rsid w:val="009C6ED1"/>
    <w:rsid w:val="00A97054"/>
    <w:rsid w:val="00AD23C9"/>
    <w:rsid w:val="00C84FAA"/>
    <w:rsid w:val="00D52846"/>
    <w:rsid w:val="00E25B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AB5C"/>
  <w15:docId w15:val="{B7A88AC0-D878-412A-A0EF-4FD0839B4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B4"/>
    <w:pPr>
      <w:spacing w:before="180" w:after="0" w:line="240" w:lineRule="auto"/>
      <w:jc w:val="both"/>
    </w:pPr>
    <w:rPr>
      <w:rFonts w:cstheme="minorHAnsi"/>
      <w:sz w:val="20"/>
      <w:szCs w:val="20"/>
      <w:lang w:val="en-GB" w:eastAsia="fr-FR"/>
    </w:rPr>
  </w:style>
  <w:style w:type="paragraph" w:styleId="Titre1">
    <w:name w:val="heading 1"/>
    <w:basedOn w:val="Normal"/>
    <w:next w:val="Normal"/>
    <w:link w:val="Titre1Car"/>
    <w:qFormat/>
    <w:rsid w:val="001C0953"/>
    <w:pPr>
      <w:keepNext/>
      <w:numPr>
        <w:numId w:val="13"/>
      </w:numPr>
      <w:tabs>
        <w:tab w:val="left" w:pos="567"/>
      </w:tabs>
      <w:spacing w:before="480" w:after="240"/>
      <w:outlineLvl w:val="0"/>
    </w:pPr>
    <w:rPr>
      <w:rFonts w:ascii="Franklin Gothic Demi" w:hAnsi="Franklin Gothic Demi" w:cs="Arial"/>
      <w:bCs/>
      <w:kern w:val="32"/>
      <w:szCs w:val="32"/>
    </w:rPr>
  </w:style>
  <w:style w:type="paragraph" w:styleId="Titre2">
    <w:name w:val="heading 2"/>
    <w:basedOn w:val="Titre1"/>
    <w:next w:val="Normal"/>
    <w:link w:val="Titre2Car"/>
    <w:qFormat/>
    <w:rsid w:val="001C0953"/>
    <w:pPr>
      <w:numPr>
        <w:ilvl w:val="1"/>
      </w:numPr>
      <w:tabs>
        <w:tab w:val="clear" w:pos="567"/>
        <w:tab w:val="left" w:pos="1134"/>
      </w:tabs>
      <w:spacing w:before="360" w:after="120"/>
      <w:outlineLvl w:val="1"/>
    </w:pPr>
    <w:rPr>
      <w:bCs w:val="0"/>
      <w:iCs/>
      <w:sz w:val="18"/>
      <w:szCs w:val="28"/>
    </w:rPr>
  </w:style>
  <w:style w:type="paragraph" w:styleId="Titre3">
    <w:name w:val="heading 3"/>
    <w:basedOn w:val="Titre2"/>
    <w:next w:val="Normal"/>
    <w:link w:val="Titre3Car"/>
    <w:qFormat/>
    <w:rsid w:val="001C0953"/>
    <w:pPr>
      <w:numPr>
        <w:ilvl w:val="2"/>
      </w:numPr>
      <w:spacing w:before="240" w:after="60"/>
      <w:outlineLvl w:val="2"/>
    </w:pPr>
    <w:rPr>
      <w:iCs w:val="0"/>
      <w:szCs w:val="20"/>
    </w:rPr>
  </w:style>
  <w:style w:type="paragraph" w:styleId="Titre4">
    <w:name w:val="heading 4"/>
    <w:basedOn w:val="Normal"/>
    <w:next w:val="Normal"/>
    <w:link w:val="Titre4Car"/>
    <w:rsid w:val="001C0953"/>
    <w:pPr>
      <w:keepNext/>
      <w:numPr>
        <w:ilvl w:val="3"/>
        <w:numId w:val="13"/>
      </w:numPr>
      <w:outlineLvl w:val="3"/>
    </w:pPr>
    <w:rPr>
      <w:rFonts w:ascii="ITC Franklin Gothic Book" w:hAnsi="ITC Franklin Gothic Book"/>
      <w:b/>
      <w:bCs/>
      <w:sz w:val="28"/>
      <w:szCs w:val="28"/>
    </w:rPr>
  </w:style>
  <w:style w:type="paragraph" w:styleId="Titre5">
    <w:name w:val="heading 5"/>
    <w:basedOn w:val="Normal"/>
    <w:next w:val="Normal"/>
    <w:link w:val="Titre5Car"/>
    <w:rsid w:val="001C0953"/>
    <w:pPr>
      <w:numPr>
        <w:ilvl w:val="4"/>
        <w:numId w:val="1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1C0953"/>
    <w:pPr>
      <w:numPr>
        <w:ilvl w:val="5"/>
        <w:numId w:val="13"/>
      </w:numPr>
      <w:outlineLvl w:val="5"/>
    </w:pPr>
    <w:rPr>
      <w:rFonts w:ascii="ITC Franklin Gothic Book" w:hAnsi="ITC Franklin Gothic Book"/>
      <w:b/>
      <w:bCs/>
      <w:sz w:val="22"/>
      <w:szCs w:val="22"/>
    </w:rPr>
  </w:style>
  <w:style w:type="paragraph" w:styleId="Titre7">
    <w:name w:val="heading 7"/>
    <w:basedOn w:val="Normal"/>
    <w:next w:val="Normal"/>
    <w:link w:val="Titre7Car"/>
    <w:rsid w:val="001C0953"/>
    <w:pPr>
      <w:numPr>
        <w:ilvl w:val="6"/>
        <w:numId w:val="13"/>
      </w:numPr>
      <w:outlineLvl w:val="6"/>
    </w:pPr>
    <w:rPr>
      <w:rFonts w:ascii="ITC Franklin Gothic Book" w:hAnsi="ITC Franklin Gothic Book"/>
    </w:rPr>
  </w:style>
  <w:style w:type="paragraph" w:styleId="Titre8">
    <w:name w:val="heading 8"/>
    <w:basedOn w:val="Normal"/>
    <w:next w:val="Normal"/>
    <w:link w:val="Titre8Car"/>
    <w:rsid w:val="001C0953"/>
    <w:pPr>
      <w:numPr>
        <w:ilvl w:val="7"/>
        <w:numId w:val="13"/>
      </w:numPr>
      <w:outlineLvl w:val="7"/>
    </w:pPr>
    <w:rPr>
      <w:rFonts w:ascii="ITC Franklin Gothic Book" w:hAnsi="ITC Franklin Gothic Book"/>
      <w:i/>
      <w:iCs/>
    </w:rPr>
  </w:style>
  <w:style w:type="paragraph" w:styleId="Titre9">
    <w:name w:val="heading 9"/>
    <w:basedOn w:val="Normal"/>
    <w:next w:val="Normal"/>
    <w:link w:val="Titre9Car"/>
    <w:rsid w:val="001C0953"/>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Listepuces"/>
    <w:link w:val="B1Car"/>
    <w:qFormat/>
    <w:rsid w:val="001C0953"/>
    <w:pPr>
      <w:numPr>
        <w:numId w:val="2"/>
      </w:numPr>
      <w:spacing w:before="60" w:after="60"/>
    </w:pPr>
  </w:style>
  <w:style w:type="character" w:customStyle="1" w:styleId="B1Car">
    <w:name w:val="B1 Car"/>
    <w:link w:val="B1"/>
    <w:rsid w:val="001C0953"/>
    <w:rPr>
      <w:rFonts w:eastAsia="Times New Roman" w:cs="Times New Roman"/>
      <w:sz w:val="18"/>
      <w:szCs w:val="24"/>
    </w:rPr>
  </w:style>
  <w:style w:type="paragraph" w:styleId="Listepuces">
    <w:name w:val="List Bullet"/>
    <w:basedOn w:val="Normal"/>
    <w:uiPriority w:val="99"/>
    <w:semiHidden/>
    <w:unhideWhenUsed/>
    <w:rsid w:val="001C0953"/>
    <w:pPr>
      <w:numPr>
        <w:numId w:val="1"/>
      </w:numPr>
      <w:contextualSpacing/>
    </w:pPr>
  </w:style>
  <w:style w:type="paragraph" w:customStyle="1" w:styleId="B2">
    <w:name w:val="B2"/>
    <w:basedOn w:val="B1"/>
    <w:link w:val="B2Car"/>
    <w:qFormat/>
    <w:rsid w:val="001C0953"/>
    <w:pPr>
      <w:numPr>
        <w:numId w:val="3"/>
      </w:numPr>
      <w:tabs>
        <w:tab w:val="left" w:pos="851"/>
      </w:tabs>
      <w:spacing w:before="0" w:after="0"/>
    </w:pPr>
  </w:style>
  <w:style w:type="character" w:customStyle="1" w:styleId="B2Car">
    <w:name w:val="B2 Car"/>
    <w:basedOn w:val="B1Car"/>
    <w:link w:val="B2"/>
    <w:rsid w:val="001C0953"/>
    <w:rPr>
      <w:rFonts w:eastAsia="Times New Roman" w:cs="Times New Roman"/>
      <w:sz w:val="18"/>
      <w:szCs w:val="24"/>
    </w:rPr>
  </w:style>
  <w:style w:type="paragraph" w:customStyle="1" w:styleId="B3">
    <w:name w:val="B3"/>
    <w:basedOn w:val="B2"/>
    <w:link w:val="B3Car"/>
    <w:qFormat/>
    <w:rsid w:val="001C0953"/>
    <w:pPr>
      <w:numPr>
        <w:numId w:val="4"/>
      </w:numPr>
      <w:tabs>
        <w:tab w:val="left" w:pos="1134"/>
      </w:tabs>
      <w:adjustRightInd w:val="0"/>
      <w:textAlignment w:val="baseline"/>
    </w:pPr>
  </w:style>
  <w:style w:type="character" w:customStyle="1" w:styleId="B3Car">
    <w:name w:val="B3 Car"/>
    <w:basedOn w:val="B2Car"/>
    <w:link w:val="B3"/>
    <w:rsid w:val="001C0953"/>
    <w:rPr>
      <w:rFonts w:eastAsia="Times New Roman" w:cs="Times New Roman"/>
      <w:sz w:val="18"/>
      <w:szCs w:val="20"/>
    </w:rPr>
  </w:style>
  <w:style w:type="paragraph" w:styleId="Corpsdetexte">
    <w:name w:val="Body Text"/>
    <w:basedOn w:val="Normal"/>
    <w:link w:val="CorpsdetexteCar"/>
    <w:uiPriority w:val="99"/>
    <w:unhideWhenUsed/>
    <w:rsid w:val="001C0953"/>
  </w:style>
  <w:style w:type="character" w:customStyle="1" w:styleId="CorpsdetexteCar">
    <w:name w:val="Corps de texte Car"/>
    <w:basedOn w:val="Policepardfaut"/>
    <w:link w:val="Corpsdetexte"/>
    <w:uiPriority w:val="99"/>
    <w:rsid w:val="001C0953"/>
    <w:rPr>
      <w:rFonts w:eastAsia="Times New Roman" w:cs="Times New Roman"/>
      <w:sz w:val="18"/>
      <w:szCs w:val="24"/>
    </w:rPr>
  </w:style>
  <w:style w:type="paragraph" w:styleId="En-tte">
    <w:name w:val="header"/>
    <w:basedOn w:val="Normal"/>
    <w:link w:val="En-tteCar"/>
    <w:uiPriority w:val="99"/>
    <w:unhideWhenUsed/>
    <w:rsid w:val="001C0953"/>
    <w:pPr>
      <w:tabs>
        <w:tab w:val="center" w:pos="4536"/>
        <w:tab w:val="right" w:pos="9072"/>
      </w:tabs>
      <w:spacing w:before="0"/>
      <w:ind w:left="-1701"/>
    </w:pPr>
  </w:style>
  <w:style w:type="character" w:customStyle="1" w:styleId="En-tteCar">
    <w:name w:val="En-tête Car"/>
    <w:basedOn w:val="Policepardfaut"/>
    <w:link w:val="En-tte"/>
    <w:uiPriority w:val="99"/>
    <w:rsid w:val="001C0953"/>
    <w:rPr>
      <w:rFonts w:eastAsia="Times New Roman" w:cs="Times New Roman"/>
      <w:sz w:val="18"/>
      <w:szCs w:val="24"/>
    </w:rPr>
  </w:style>
  <w:style w:type="paragraph" w:styleId="Pieddepage">
    <w:name w:val="footer"/>
    <w:basedOn w:val="Normal"/>
    <w:link w:val="PieddepageCar"/>
    <w:unhideWhenUsed/>
    <w:rsid w:val="001C0953"/>
    <w:pPr>
      <w:ind w:left="-1701"/>
      <w:jc w:val="right"/>
    </w:pPr>
    <w:rPr>
      <w:noProof/>
      <w:sz w:val="16"/>
    </w:rPr>
  </w:style>
  <w:style w:type="character" w:customStyle="1" w:styleId="PieddepageCar">
    <w:name w:val="Pied de page Car"/>
    <w:basedOn w:val="Policepardfaut"/>
    <w:link w:val="Pieddepage"/>
    <w:rsid w:val="001C0953"/>
    <w:rPr>
      <w:rFonts w:eastAsia="Times New Roman" w:cs="Times New Roman"/>
      <w:noProof/>
      <w:sz w:val="16"/>
      <w:szCs w:val="24"/>
      <w:lang w:eastAsia="fr-FR"/>
    </w:rPr>
  </w:style>
  <w:style w:type="paragraph" w:customStyle="1" w:styleId="Pieddepremirepage">
    <w:name w:val="Pied de première page"/>
    <w:basedOn w:val="Pieddepage"/>
    <w:link w:val="PieddepremirepageCar"/>
    <w:qFormat/>
    <w:rsid w:val="001C0953"/>
    <w:pPr>
      <w:jc w:val="left"/>
    </w:pPr>
    <w:rPr>
      <w:color w:val="1188CA"/>
      <w:sz w:val="17"/>
      <w:szCs w:val="17"/>
    </w:rPr>
  </w:style>
  <w:style w:type="character" w:customStyle="1" w:styleId="PieddepremirepageCar">
    <w:name w:val="Pied de première page Car"/>
    <w:basedOn w:val="PieddepageCar"/>
    <w:link w:val="Pieddepremirepage"/>
    <w:rsid w:val="001C0953"/>
    <w:rPr>
      <w:rFonts w:eastAsia="Times New Roman" w:cs="Times New Roman"/>
      <w:noProof/>
      <w:color w:val="1188CA"/>
      <w:sz w:val="17"/>
      <w:szCs w:val="17"/>
      <w:lang w:eastAsia="fr-FR"/>
    </w:rPr>
  </w:style>
  <w:style w:type="paragraph" w:customStyle="1" w:styleId="Pieddepremirepage-tableau">
    <w:name w:val="Pied de première page - tableau"/>
    <w:basedOn w:val="Normal"/>
    <w:qFormat/>
    <w:rsid w:val="001C0953"/>
    <w:pPr>
      <w:spacing w:before="0"/>
      <w:ind w:left="57"/>
    </w:pPr>
    <w:rPr>
      <w:color w:val="1188CA"/>
      <w:sz w:val="17"/>
      <w:szCs w:val="17"/>
    </w:rPr>
  </w:style>
  <w:style w:type="paragraph" w:styleId="Sous-titre">
    <w:name w:val="Subtitle"/>
    <w:basedOn w:val="Normal"/>
    <w:next w:val="Normal"/>
    <w:link w:val="Sous-titreCar"/>
    <w:uiPriority w:val="11"/>
    <w:qFormat/>
    <w:rsid w:val="001C0953"/>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1C0953"/>
    <w:rPr>
      <w:rFonts w:ascii="Franklin Gothic Demi" w:eastAsia="Times New Roman" w:hAnsi="Franklin Gothic Demi" w:cs="Times New Roman"/>
      <w:szCs w:val="24"/>
    </w:rPr>
  </w:style>
  <w:style w:type="paragraph" w:styleId="Textedebulles">
    <w:name w:val="Balloon Text"/>
    <w:basedOn w:val="Normal"/>
    <w:link w:val="TextedebullesCar"/>
    <w:uiPriority w:val="99"/>
    <w:semiHidden/>
    <w:unhideWhenUsed/>
    <w:rsid w:val="001C0953"/>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1C0953"/>
    <w:rPr>
      <w:rFonts w:ascii="Tahoma" w:eastAsia="Times New Roman" w:hAnsi="Tahoma" w:cs="Tahoma"/>
      <w:sz w:val="16"/>
      <w:szCs w:val="16"/>
    </w:rPr>
  </w:style>
  <w:style w:type="paragraph" w:styleId="Titre">
    <w:name w:val="Title"/>
    <w:basedOn w:val="Normal"/>
    <w:next w:val="Normal"/>
    <w:link w:val="TitreCar"/>
    <w:qFormat/>
    <w:rsid w:val="001C0953"/>
    <w:pPr>
      <w:spacing w:before="240" w:after="60"/>
      <w:jc w:val="center"/>
    </w:pPr>
    <w:rPr>
      <w:rFonts w:ascii="Franklin Gothic Demi" w:hAnsi="Franklin Gothic Demi"/>
      <w:kern w:val="28"/>
      <w:sz w:val="32"/>
    </w:rPr>
  </w:style>
  <w:style w:type="character" w:customStyle="1" w:styleId="TitreCar">
    <w:name w:val="Titre Car"/>
    <w:basedOn w:val="Policepardfaut"/>
    <w:link w:val="Titre"/>
    <w:rsid w:val="001C0953"/>
    <w:rPr>
      <w:rFonts w:ascii="Franklin Gothic Demi" w:eastAsia="Times New Roman" w:hAnsi="Franklin Gothic Demi" w:cs="Times New Roman"/>
      <w:kern w:val="28"/>
      <w:sz w:val="32"/>
      <w:szCs w:val="24"/>
    </w:rPr>
  </w:style>
  <w:style w:type="character" w:customStyle="1" w:styleId="Titre1Car">
    <w:name w:val="Titre 1 Car"/>
    <w:basedOn w:val="Policepardfaut"/>
    <w:link w:val="Titre1"/>
    <w:rsid w:val="001C0953"/>
    <w:rPr>
      <w:rFonts w:ascii="Franklin Gothic Demi" w:eastAsia="Times New Roman" w:hAnsi="Franklin Gothic Demi" w:cs="Arial"/>
      <w:bCs/>
      <w:kern w:val="32"/>
      <w:sz w:val="20"/>
      <w:szCs w:val="32"/>
      <w:lang w:eastAsia="fr-FR"/>
    </w:rPr>
  </w:style>
  <w:style w:type="character" w:customStyle="1" w:styleId="Titre2Car">
    <w:name w:val="Titre 2 Car"/>
    <w:basedOn w:val="Policepardfaut"/>
    <w:link w:val="Titre2"/>
    <w:rsid w:val="001C0953"/>
    <w:rPr>
      <w:rFonts w:ascii="Franklin Gothic Demi" w:eastAsia="Times New Roman" w:hAnsi="Franklin Gothic Demi" w:cs="Arial"/>
      <w:iCs/>
      <w:kern w:val="32"/>
      <w:sz w:val="18"/>
      <w:szCs w:val="28"/>
      <w:lang w:eastAsia="fr-FR"/>
    </w:rPr>
  </w:style>
  <w:style w:type="character" w:customStyle="1" w:styleId="Titre3Car">
    <w:name w:val="Titre 3 Car"/>
    <w:basedOn w:val="Policepardfaut"/>
    <w:link w:val="Titre3"/>
    <w:rsid w:val="001C0953"/>
    <w:rPr>
      <w:rFonts w:ascii="Franklin Gothic Demi" w:eastAsia="Times New Roman" w:hAnsi="Franklin Gothic Demi" w:cs="Arial"/>
      <w:kern w:val="32"/>
      <w:sz w:val="18"/>
      <w:szCs w:val="20"/>
      <w:lang w:eastAsia="fr-FR"/>
    </w:rPr>
  </w:style>
  <w:style w:type="character" w:customStyle="1" w:styleId="Titre4Car">
    <w:name w:val="Titre 4 Car"/>
    <w:basedOn w:val="Policepardfaut"/>
    <w:link w:val="Titre4"/>
    <w:rsid w:val="001C0953"/>
    <w:rPr>
      <w:rFonts w:ascii="ITC Franklin Gothic Book" w:eastAsia="Times New Roman" w:hAnsi="ITC Franklin Gothic Book" w:cs="Times New Roman"/>
      <w:b/>
      <w:bCs/>
      <w:sz w:val="28"/>
      <w:szCs w:val="28"/>
    </w:rPr>
  </w:style>
  <w:style w:type="character" w:customStyle="1" w:styleId="Titre5Car">
    <w:name w:val="Titre 5 Car"/>
    <w:basedOn w:val="Policepardfaut"/>
    <w:link w:val="Titre5"/>
    <w:rsid w:val="001C0953"/>
    <w:rPr>
      <w:rFonts w:ascii="ITC Franklin Gothic Book" w:eastAsia="Times New Roman" w:hAnsi="ITC Franklin Gothic Book" w:cs="Times New Roman"/>
      <w:b/>
      <w:bCs/>
      <w:i/>
      <w:iCs/>
      <w:sz w:val="26"/>
      <w:szCs w:val="26"/>
    </w:rPr>
  </w:style>
  <w:style w:type="character" w:customStyle="1" w:styleId="Titre6Car">
    <w:name w:val="Titre 6 Car"/>
    <w:basedOn w:val="Policepardfaut"/>
    <w:link w:val="Titre6"/>
    <w:rsid w:val="001C0953"/>
    <w:rPr>
      <w:rFonts w:ascii="ITC Franklin Gothic Book" w:eastAsia="Times New Roman" w:hAnsi="ITC Franklin Gothic Book" w:cs="Times New Roman"/>
      <w:b/>
      <w:bCs/>
    </w:rPr>
  </w:style>
  <w:style w:type="character" w:customStyle="1" w:styleId="Titre7Car">
    <w:name w:val="Titre 7 Car"/>
    <w:basedOn w:val="Policepardfaut"/>
    <w:link w:val="Titre7"/>
    <w:rsid w:val="001C0953"/>
    <w:rPr>
      <w:rFonts w:ascii="ITC Franklin Gothic Book" w:eastAsia="Times New Roman" w:hAnsi="ITC Franklin Gothic Book" w:cs="Times New Roman"/>
      <w:sz w:val="18"/>
      <w:szCs w:val="24"/>
    </w:rPr>
  </w:style>
  <w:style w:type="character" w:customStyle="1" w:styleId="Titre8Car">
    <w:name w:val="Titre 8 Car"/>
    <w:basedOn w:val="Policepardfaut"/>
    <w:link w:val="Titre8"/>
    <w:rsid w:val="001C0953"/>
    <w:rPr>
      <w:rFonts w:ascii="ITC Franklin Gothic Book" w:eastAsia="Times New Roman" w:hAnsi="ITC Franklin Gothic Book" w:cs="Times New Roman"/>
      <w:i/>
      <w:iCs/>
      <w:sz w:val="18"/>
      <w:szCs w:val="24"/>
    </w:rPr>
  </w:style>
  <w:style w:type="character" w:customStyle="1" w:styleId="Titre9Car">
    <w:name w:val="Titre 9 Car"/>
    <w:basedOn w:val="Policepardfaut"/>
    <w:link w:val="Titre9"/>
    <w:rsid w:val="001C0953"/>
    <w:rPr>
      <w:rFonts w:ascii="Arial" w:eastAsia="Times New Roman" w:hAnsi="Arial" w:cs="Arial"/>
    </w:rPr>
  </w:style>
  <w:style w:type="paragraph" w:styleId="TM1">
    <w:name w:val="toc 1"/>
    <w:basedOn w:val="Normal"/>
    <w:next w:val="Normal"/>
    <w:autoRedefine/>
    <w:uiPriority w:val="39"/>
    <w:rsid w:val="001C0953"/>
    <w:pPr>
      <w:tabs>
        <w:tab w:val="left" w:pos="360"/>
        <w:tab w:val="right" w:leader="dot" w:pos="7927"/>
      </w:tabs>
    </w:pPr>
    <w:rPr>
      <w:noProof/>
    </w:rPr>
  </w:style>
  <w:style w:type="paragraph" w:styleId="TM2">
    <w:name w:val="toc 2"/>
    <w:basedOn w:val="Normal"/>
    <w:next w:val="Normal"/>
    <w:uiPriority w:val="39"/>
    <w:rsid w:val="001C0953"/>
    <w:pPr>
      <w:tabs>
        <w:tab w:val="left" w:pos="720"/>
        <w:tab w:val="right" w:leader="dot" w:pos="7927"/>
      </w:tabs>
      <w:ind w:left="180"/>
    </w:pPr>
    <w:rPr>
      <w:i/>
      <w:iCs/>
      <w:noProof/>
    </w:rPr>
  </w:style>
  <w:style w:type="paragraph" w:styleId="TM3">
    <w:name w:val="toc 3"/>
    <w:basedOn w:val="Normal"/>
    <w:next w:val="Normal"/>
    <w:uiPriority w:val="39"/>
    <w:rsid w:val="001C0953"/>
    <w:pPr>
      <w:tabs>
        <w:tab w:val="left" w:pos="1080"/>
        <w:tab w:val="right" w:leader="dot" w:pos="7927"/>
      </w:tabs>
      <w:spacing w:before="0"/>
      <w:ind w:left="360"/>
    </w:pPr>
    <w:rPr>
      <w:i/>
      <w:noProof/>
    </w:rPr>
  </w:style>
  <w:style w:type="paragraph" w:styleId="TM4">
    <w:name w:val="toc 4"/>
    <w:basedOn w:val="Normal"/>
    <w:next w:val="Normal"/>
    <w:semiHidden/>
    <w:rsid w:val="001C0953"/>
    <w:pPr>
      <w:spacing w:before="0"/>
      <w:ind w:left="540"/>
      <w:jc w:val="left"/>
    </w:pPr>
    <w:rPr>
      <w:rFonts w:ascii="Times New Roman" w:hAnsi="Times New Roman"/>
    </w:rPr>
  </w:style>
  <w:style w:type="paragraph" w:styleId="TM5">
    <w:name w:val="toc 5"/>
    <w:basedOn w:val="Normal"/>
    <w:next w:val="Normal"/>
    <w:semiHidden/>
    <w:rsid w:val="001C0953"/>
    <w:pPr>
      <w:spacing w:before="0"/>
      <w:ind w:left="720"/>
      <w:jc w:val="left"/>
    </w:pPr>
    <w:rPr>
      <w:rFonts w:ascii="Times New Roman" w:hAnsi="Times New Roman"/>
    </w:rPr>
  </w:style>
  <w:style w:type="paragraph" w:styleId="TM6">
    <w:name w:val="toc 6"/>
    <w:basedOn w:val="Normal"/>
    <w:next w:val="Normal"/>
    <w:semiHidden/>
    <w:rsid w:val="001C0953"/>
    <w:pPr>
      <w:spacing w:before="0"/>
      <w:ind w:left="900"/>
      <w:jc w:val="left"/>
    </w:pPr>
    <w:rPr>
      <w:rFonts w:ascii="Times New Roman" w:hAnsi="Times New Roman"/>
    </w:rPr>
  </w:style>
  <w:style w:type="paragraph" w:styleId="TM7">
    <w:name w:val="toc 7"/>
    <w:basedOn w:val="Normal"/>
    <w:next w:val="Normal"/>
    <w:semiHidden/>
    <w:rsid w:val="001C0953"/>
    <w:pPr>
      <w:spacing w:before="0"/>
      <w:ind w:left="1080"/>
      <w:jc w:val="left"/>
    </w:pPr>
    <w:rPr>
      <w:rFonts w:ascii="Times New Roman" w:hAnsi="Times New Roman"/>
    </w:rPr>
  </w:style>
  <w:style w:type="paragraph" w:styleId="TM8">
    <w:name w:val="toc 8"/>
    <w:basedOn w:val="Normal"/>
    <w:next w:val="Normal"/>
    <w:semiHidden/>
    <w:rsid w:val="001C0953"/>
    <w:pPr>
      <w:spacing w:before="0"/>
      <w:ind w:left="1260"/>
      <w:jc w:val="left"/>
    </w:pPr>
    <w:rPr>
      <w:rFonts w:ascii="Times New Roman" w:hAnsi="Times New Roman"/>
    </w:rPr>
  </w:style>
  <w:style w:type="paragraph" w:customStyle="1" w:styleId="Version">
    <w:name w:val="Version"/>
    <w:basedOn w:val="Normal"/>
    <w:rsid w:val="001C0953"/>
    <w:pPr>
      <w:jc w:val="right"/>
    </w:pPr>
    <w:rPr>
      <w:i/>
      <w:caps/>
      <w:noProof/>
      <w:sz w:val="14"/>
      <w:szCs w:val="14"/>
    </w:rPr>
  </w:style>
  <w:style w:type="character" w:styleId="Accentuation">
    <w:name w:val="Emphasis"/>
    <w:basedOn w:val="Policepardfaut"/>
    <w:uiPriority w:val="20"/>
    <w:qFormat/>
    <w:rsid w:val="00633167"/>
    <w:rPr>
      <w:i/>
      <w:iCs/>
    </w:rPr>
  </w:style>
  <w:style w:type="character" w:styleId="lev">
    <w:name w:val="Strong"/>
    <w:basedOn w:val="Policepardfaut"/>
    <w:uiPriority w:val="22"/>
    <w:qFormat/>
    <w:rsid w:val="00633167"/>
    <w:rPr>
      <w:b/>
      <w:bCs/>
    </w:rPr>
  </w:style>
  <w:style w:type="character" w:styleId="Lienhypertexte">
    <w:name w:val="Hyperlink"/>
    <w:basedOn w:val="Policepardfaut"/>
    <w:uiPriority w:val="99"/>
    <w:semiHidden/>
    <w:unhideWhenUsed/>
    <w:rsid w:val="00633167"/>
    <w:rPr>
      <w:color w:val="0000FF"/>
      <w:u w:val="single"/>
    </w:rPr>
  </w:style>
  <w:style w:type="paragraph" w:styleId="NormalWeb">
    <w:name w:val="Normal (Web)"/>
    <w:basedOn w:val="Normal"/>
    <w:uiPriority w:val="99"/>
    <w:semiHidden/>
    <w:unhideWhenUsed/>
    <w:rsid w:val="00633167"/>
    <w:pPr>
      <w:spacing w:before="100" w:beforeAutospacing="1" w:after="100" w:afterAutospacing="1"/>
      <w:ind w:left="300"/>
    </w:pPr>
    <w:rPr>
      <w:rFonts w:ascii="Verdana" w:hAnsi="Verdana" w:cs="Times New Roman"/>
      <w:color w:val="000000"/>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733368">
      <w:bodyDiv w:val="1"/>
      <w:marLeft w:val="0"/>
      <w:marRight w:val="0"/>
      <w:marTop w:val="0"/>
      <w:marBottom w:val="0"/>
      <w:divBdr>
        <w:top w:val="none" w:sz="0" w:space="0" w:color="auto"/>
        <w:left w:val="none" w:sz="0" w:space="0" w:color="auto"/>
        <w:bottom w:val="none" w:sz="0" w:space="0" w:color="auto"/>
        <w:right w:val="none" w:sz="0" w:space="0" w:color="auto"/>
      </w:divBdr>
      <w:divsChild>
        <w:div w:id="1372151251">
          <w:marLeft w:val="0"/>
          <w:marRight w:val="0"/>
          <w:marTop w:val="0"/>
          <w:marBottom w:val="0"/>
          <w:divBdr>
            <w:top w:val="single" w:sz="6" w:space="0" w:color="999999"/>
            <w:left w:val="single" w:sz="6" w:space="0" w:color="999999"/>
            <w:bottom w:val="single" w:sz="6" w:space="4" w:color="999999"/>
            <w:right w:val="single" w:sz="6" w:space="0" w:color="999999"/>
          </w:divBdr>
          <w:divsChild>
            <w:div w:id="15022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43241">
      <w:bodyDiv w:val="1"/>
      <w:marLeft w:val="0"/>
      <w:marRight w:val="0"/>
      <w:marTop w:val="0"/>
      <w:marBottom w:val="0"/>
      <w:divBdr>
        <w:top w:val="none" w:sz="0" w:space="0" w:color="auto"/>
        <w:left w:val="none" w:sz="0" w:space="0" w:color="auto"/>
        <w:bottom w:val="none" w:sz="0" w:space="0" w:color="auto"/>
        <w:right w:val="none" w:sz="0" w:space="0" w:color="auto"/>
      </w:divBdr>
      <w:divsChild>
        <w:div w:id="724717152">
          <w:marLeft w:val="0"/>
          <w:marRight w:val="0"/>
          <w:marTop w:val="0"/>
          <w:marBottom w:val="0"/>
          <w:divBdr>
            <w:top w:val="single" w:sz="6" w:space="0" w:color="999999"/>
            <w:left w:val="single" w:sz="6" w:space="0" w:color="999999"/>
            <w:bottom w:val="single" w:sz="6" w:space="4" w:color="999999"/>
            <w:right w:val="single" w:sz="6" w:space="0" w:color="999999"/>
          </w:divBdr>
          <w:divsChild>
            <w:div w:id="166639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99493">
      <w:bodyDiv w:val="1"/>
      <w:marLeft w:val="0"/>
      <w:marRight w:val="0"/>
      <w:marTop w:val="0"/>
      <w:marBottom w:val="0"/>
      <w:divBdr>
        <w:top w:val="none" w:sz="0" w:space="0" w:color="auto"/>
        <w:left w:val="none" w:sz="0" w:space="0" w:color="auto"/>
        <w:bottom w:val="none" w:sz="0" w:space="0" w:color="auto"/>
        <w:right w:val="none" w:sz="0" w:space="0" w:color="auto"/>
      </w:divBdr>
      <w:divsChild>
        <w:div w:id="1371111242">
          <w:marLeft w:val="0"/>
          <w:marRight w:val="0"/>
          <w:marTop w:val="0"/>
          <w:marBottom w:val="0"/>
          <w:divBdr>
            <w:top w:val="single" w:sz="6" w:space="0" w:color="999999"/>
            <w:left w:val="single" w:sz="6" w:space="0" w:color="999999"/>
            <w:bottom w:val="single" w:sz="6" w:space="4" w:color="999999"/>
            <w:right w:val="single" w:sz="6" w:space="0" w:color="999999"/>
          </w:divBdr>
          <w:divsChild>
            <w:div w:id="10643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Afssaps_FAQ_RBM_20111019.pdf" TargetMode="External"/><Relationship Id="rId3" Type="http://schemas.openxmlformats.org/officeDocument/2006/relationships/settings" Target="settings.xml"/><Relationship Id="rId7" Type="http://schemas.openxmlformats.org/officeDocument/2006/relationships/hyperlink" Target="http://intranet.sunnikan.local/Reglementation/Europe/EC_GCP_ATMP_Clinical_Trial_200912.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573</Words>
  <Characters>3153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MERAT</dc:creator>
  <cp:lastModifiedBy>Georges MARTIN</cp:lastModifiedBy>
  <cp:revision>8</cp:revision>
  <dcterms:created xsi:type="dcterms:W3CDTF">2013-05-27T19:17:00Z</dcterms:created>
  <dcterms:modified xsi:type="dcterms:W3CDTF">2015-09-03T17:15:00Z</dcterms:modified>
</cp:coreProperties>
</file>