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B63" w:rsidRPr="00FA0E78" w:rsidRDefault="00051B63" w:rsidP="00051B63">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rsidR="00051B63" w:rsidRDefault="00703383" w:rsidP="00703383">
      <w:pPr>
        <w:pStyle w:val="Titre"/>
      </w:pPr>
      <w:r w:rsidRPr="00703383">
        <w:t xml:space="preserve">Questions formation "BPC au quotidien" </w:t>
      </w:r>
      <w:r>
        <w:br/>
      </w:r>
      <w:r w:rsidRPr="00703383">
        <w:t>du 19 novembre 2013</w:t>
      </w:r>
    </w:p>
    <w:p w:rsidR="00703383" w:rsidRDefault="00703383" w:rsidP="00703383"/>
    <w:p w:rsidR="00703383" w:rsidRDefault="00703383" w:rsidP="00703383"/>
    <w:p w:rsidR="00703383" w:rsidRDefault="00703383" w:rsidP="00703383">
      <w:pPr>
        <w:pBdr>
          <w:top w:val="single" w:sz="4" w:space="1" w:color="auto"/>
        </w:pBdr>
        <w:rPr>
          <w:b/>
        </w:rPr>
      </w:pPr>
    </w:p>
    <w:p w:rsidR="00703383" w:rsidRDefault="00703383" w:rsidP="00703383">
      <w:pPr>
        <w:pBdr>
          <w:top w:val="single" w:sz="4" w:space="1" w:color="auto"/>
        </w:pBdr>
        <w:rPr>
          <w:b/>
        </w:rPr>
      </w:pPr>
      <w:r w:rsidRPr="00F24C2D">
        <w:rPr>
          <w:b/>
        </w:rPr>
        <w:t xml:space="preserve">Médecin étranger </w:t>
      </w:r>
      <w:r>
        <w:rPr>
          <w:b/>
        </w:rPr>
        <w:t>: peut-il être investigateur principal, ou collaborateur de l'Investigateur et autorisé à inclure des patients ?</w:t>
      </w:r>
    </w:p>
    <w:p w:rsidR="00703383" w:rsidRDefault="00703383" w:rsidP="00703383">
      <w:r>
        <w:t>Les médecins étrangers peuvent être Investigateurs en France s'ils répondent aux conditions suivantes :</w:t>
      </w:r>
    </w:p>
    <w:p w:rsidR="00703383" w:rsidRDefault="00703383" w:rsidP="00703383">
      <w:pPr>
        <w:pStyle w:val="B1"/>
      </w:pPr>
      <w:r>
        <w:t>être Docteur en Médecine,</w:t>
      </w:r>
    </w:p>
    <w:p w:rsidR="00703383" w:rsidRDefault="00703383" w:rsidP="00703383">
      <w:pPr>
        <w:pStyle w:val="B1"/>
      </w:pPr>
      <w:r>
        <w:t>être originaire d'un pays ayant un accord de reconnaissance avec la France OU si non originaire d'un pays ayant un accord de reconnaissance avec la France, avoir un diplôme français de médecine,</w:t>
      </w:r>
    </w:p>
    <w:p w:rsidR="00703383" w:rsidRDefault="00703383" w:rsidP="00703383">
      <w:pPr>
        <w:pStyle w:val="B1"/>
      </w:pPr>
      <w:r w:rsidRPr="00F24C2D">
        <w:rPr>
          <w:b/>
        </w:rPr>
        <w:t>être inscrit à l'Ordre des médecins</w:t>
      </w:r>
      <w:r>
        <w:t>,</w:t>
      </w:r>
    </w:p>
    <w:p w:rsidR="00703383" w:rsidRDefault="00703383" w:rsidP="00703383">
      <w:pPr>
        <w:pStyle w:val="B1"/>
      </w:pPr>
      <w:r>
        <w:t>posséder une expérience appropriée.</w:t>
      </w:r>
    </w:p>
    <w:p w:rsidR="00703383" w:rsidRDefault="00703383" w:rsidP="00703383">
      <w:pPr>
        <w:pStyle w:val="B1"/>
        <w:numPr>
          <w:ilvl w:val="0"/>
          <w:numId w:val="0"/>
        </w:numPr>
        <w:ind w:left="284"/>
        <w:rPr>
          <w:rStyle w:val="Accentuation"/>
        </w:rPr>
      </w:pPr>
    </w:p>
    <w:p w:rsidR="00703383" w:rsidRDefault="00703383" w:rsidP="00703383">
      <w:pPr>
        <w:pStyle w:val="B1"/>
        <w:numPr>
          <w:ilvl w:val="0"/>
          <w:numId w:val="0"/>
        </w:numPr>
        <w:rPr>
          <w:rStyle w:val="Accentuation"/>
        </w:rPr>
      </w:pPr>
      <w:r>
        <w:rPr>
          <w:rStyle w:val="Accentuation"/>
        </w:rPr>
        <w:t>"Nul ne peut exercer la profession de médecin, de chirurgien-dentiste ou de sage-femme s'il n'est :</w:t>
      </w:r>
    </w:p>
    <w:p w:rsidR="00703383" w:rsidRDefault="00703383" w:rsidP="00703383">
      <w:pPr>
        <w:pStyle w:val="B1"/>
        <w:numPr>
          <w:ilvl w:val="0"/>
          <w:numId w:val="0"/>
        </w:numPr>
        <w:rPr>
          <w:rStyle w:val="Accentuation"/>
        </w:rPr>
      </w:pPr>
      <w:r>
        <w:rPr>
          <w:rStyle w:val="Accentuation"/>
        </w:rPr>
        <w:t>1° Titulaire d'un diplôme, certificat ou autre titre mentionné aux articles L. 4131-1, L. 4141-3 ou L. 4151-5 ;</w:t>
      </w:r>
    </w:p>
    <w:p w:rsidR="00703383" w:rsidRDefault="00703383" w:rsidP="00703383">
      <w:pPr>
        <w:pStyle w:val="B1"/>
        <w:numPr>
          <w:ilvl w:val="0"/>
          <w:numId w:val="0"/>
        </w:numPr>
        <w:rPr>
          <w:rStyle w:val="lev"/>
          <w:i/>
          <w:iCs/>
        </w:rPr>
      </w:pPr>
      <w:r>
        <w:rPr>
          <w:rStyle w:val="Accentuation"/>
        </w:rPr>
        <w:t xml:space="preserve">2° De nationalité française, </w:t>
      </w:r>
      <w:r>
        <w:rPr>
          <w:rStyle w:val="lev"/>
          <w:i/>
          <w:iCs/>
        </w:rPr>
        <w:t xml:space="preserve">de citoyenneté andorrane ou ressortissant d'un </w:t>
      </w:r>
      <w:proofErr w:type="spellStart"/>
      <w:r>
        <w:rPr>
          <w:rStyle w:val="lev"/>
          <w:i/>
          <w:iCs/>
        </w:rPr>
        <w:t>Etat</w:t>
      </w:r>
      <w:proofErr w:type="spellEnd"/>
      <w:r>
        <w:rPr>
          <w:rStyle w:val="lev"/>
          <w:i/>
          <w:iCs/>
        </w:rPr>
        <w:t xml:space="preserve"> membre de l'Union européenne ou partie à l'accord sur l'Espace économique européen, du Maroc ou de la Tunisie,</w:t>
      </w:r>
      <w:r>
        <w:rPr>
          <w:rStyle w:val="Accentuation"/>
        </w:rPr>
        <w:t xml:space="preserve"> sous réserve de l'application, le cas échéant, soit des règles fixées au présent chapitre, s</w:t>
      </w:r>
      <w:r>
        <w:rPr>
          <w:rStyle w:val="lev"/>
          <w:i/>
          <w:iCs/>
        </w:rPr>
        <w:t xml:space="preserve">oit de celles qui découlent d'engagements internationaux autres que ceux mentionnés au présent chapitre ; </w:t>
      </w:r>
    </w:p>
    <w:p w:rsidR="00703383" w:rsidRDefault="00703383" w:rsidP="00703383">
      <w:pPr>
        <w:pStyle w:val="B1"/>
        <w:numPr>
          <w:ilvl w:val="0"/>
          <w:numId w:val="0"/>
        </w:numPr>
        <w:rPr>
          <w:rStyle w:val="Accentuation"/>
        </w:rPr>
      </w:pPr>
      <w:r>
        <w:rPr>
          <w:rStyle w:val="Accentuation"/>
        </w:rPr>
        <w:t xml:space="preserve">3° </w:t>
      </w:r>
      <w:r w:rsidRPr="00F372BA">
        <w:rPr>
          <w:rStyle w:val="Accentuation"/>
          <w:b/>
        </w:rPr>
        <w:t>Inscrit à un tableau de l'ordre des médecins</w:t>
      </w:r>
      <w:r>
        <w:rPr>
          <w:rStyle w:val="Accentuation"/>
        </w:rPr>
        <w:t xml:space="preserve">, à un tableau de l'ordre des chirurgiens-dentistes ou à un tableau de l'ordre des sages-femmes, sous réserve des dispositions des articles L. 4112-6 et L. 4112-7. </w:t>
      </w:r>
    </w:p>
    <w:p w:rsidR="00703383" w:rsidRDefault="00703383" w:rsidP="00703383">
      <w:pPr>
        <w:pStyle w:val="B1"/>
        <w:numPr>
          <w:ilvl w:val="0"/>
          <w:numId w:val="0"/>
        </w:numPr>
        <w:rPr>
          <w:rFonts w:ascii="Verdana" w:hAnsi="Verdana"/>
          <w:szCs w:val="21"/>
          <w:lang w:eastAsia="fr-FR"/>
        </w:rPr>
      </w:pPr>
      <w:r>
        <w:br/>
      </w:r>
      <w:r>
        <w:rPr>
          <w:rStyle w:val="lev"/>
          <w:i/>
          <w:iCs/>
        </w:rPr>
        <w:t>Les médecins, chirurgiens-dentistes ou sages-femmes titulaires d'un diplôme, certificat ou autre titre mentionné aux 1° des articles L. 4131-1, L. 4141-3 ou L. 4151-5 sont dispensés de la condition de nationalité prévue au 2°</w:t>
      </w:r>
      <w:r>
        <w:rPr>
          <w:rStyle w:val="Accentuation"/>
        </w:rPr>
        <w:t xml:space="preserve">." </w:t>
      </w:r>
      <w:r>
        <w:t xml:space="preserve">(Article </w:t>
      </w:r>
      <w:r w:rsidRPr="00170C66">
        <w:t>L. 4111-1</w:t>
      </w:r>
      <w:r>
        <w:t xml:space="preserve"> du CSP)</w:t>
      </w:r>
    </w:p>
    <w:p w:rsidR="00703383" w:rsidRDefault="00703383" w:rsidP="00703383">
      <w:pPr>
        <w:pStyle w:val="B1"/>
        <w:numPr>
          <w:ilvl w:val="0"/>
          <w:numId w:val="0"/>
        </w:numPr>
        <w:ind w:left="284"/>
      </w:pPr>
    </w:p>
    <w:p w:rsidR="00703383" w:rsidRDefault="00703383" w:rsidP="00703383">
      <w:pPr>
        <w:pStyle w:val="B1"/>
        <w:numPr>
          <w:ilvl w:val="0"/>
          <w:numId w:val="0"/>
        </w:numPr>
      </w:pPr>
      <w:r>
        <w:t xml:space="preserve">Depuis la loi </w:t>
      </w:r>
      <w:r w:rsidRPr="0094121E">
        <w:t>du 21 juillet 2009</w:t>
      </w:r>
      <w:r>
        <w:t xml:space="preserve">, un </w:t>
      </w:r>
      <w:r>
        <w:rPr>
          <w:rStyle w:val="lev"/>
        </w:rPr>
        <w:t>médecin "étranger" titulaire d'un diplôme français mais non ressortissant d'un État Membre</w:t>
      </w:r>
      <w:r>
        <w:t xml:space="preserve"> (ou autre </w:t>
      </w:r>
      <w:proofErr w:type="spellStart"/>
      <w:r>
        <w:t>Etat</w:t>
      </w:r>
      <w:proofErr w:type="spellEnd"/>
      <w:r>
        <w:t xml:space="preserve"> mentionné au 2°) de l'article 4111-1 du CSP) </w:t>
      </w:r>
      <w:r>
        <w:rPr>
          <w:rStyle w:val="lev"/>
        </w:rPr>
        <w:t>pourra exercer en France, à condition d'être inscrit à un tableau de l'Ordre des Médecins.</w:t>
      </w:r>
    </w:p>
    <w:p w:rsidR="00703383" w:rsidRDefault="00703383" w:rsidP="00703383">
      <w:pPr>
        <w:rPr>
          <w:b/>
          <w:highlight w:val="yellow"/>
        </w:rPr>
      </w:pPr>
    </w:p>
    <w:p w:rsidR="00703383" w:rsidRPr="00F372BA" w:rsidRDefault="00703383" w:rsidP="00703383">
      <w:pPr>
        <w:pBdr>
          <w:top w:val="single" w:sz="4" w:space="1" w:color="auto"/>
        </w:pBdr>
      </w:pPr>
      <w:r w:rsidRPr="00F372BA">
        <w:rPr>
          <w:b/>
        </w:rPr>
        <w:t>Un médecin ayant</w:t>
      </w:r>
      <w:r w:rsidRPr="00F372BA">
        <w:rPr>
          <w:b/>
        </w:rPr>
        <w:t xml:space="preserve"> </w:t>
      </w:r>
      <w:r w:rsidRPr="00F372BA">
        <w:rPr>
          <w:b/>
        </w:rPr>
        <w:t>une "équivalence publiée au JO"</w:t>
      </w:r>
      <w:r w:rsidRPr="00F372BA">
        <w:t xml:space="preserve"> </w:t>
      </w:r>
      <w:r w:rsidRPr="00F372BA">
        <w:rPr>
          <w:b/>
        </w:rPr>
        <w:t>peut-il inclure des patients</w:t>
      </w:r>
      <w:r w:rsidRPr="00F372BA">
        <w:t xml:space="preserve"> ? </w:t>
      </w:r>
    </w:p>
    <w:p w:rsidR="00703383" w:rsidRDefault="00703383" w:rsidP="00703383">
      <w:r>
        <w:t xml:space="preserve">Ces médecins sont autorisés individuellement par le Ministre de la Santé à exercer pleinement ou temporairement la médecine sur le sol français. Ils sont inscrits à l'ordre. </w:t>
      </w:r>
    </w:p>
    <w:p w:rsidR="00703383" w:rsidRDefault="00703383" w:rsidP="00703383">
      <w:r>
        <w:t>Étant autorisé à exercer la médecine, ils sont en principe autorisés à être investigateur et à inclure des patients.</w:t>
      </w:r>
    </w:p>
    <w:p w:rsidR="00703383" w:rsidRDefault="00703383" w:rsidP="00703383">
      <w:r>
        <w:t xml:space="preserve">Ce point sera cependant à confirmer par le CNOM. </w:t>
      </w:r>
    </w:p>
    <w:p w:rsidR="00703383" w:rsidRDefault="00703383">
      <w:pPr>
        <w:spacing w:before="0"/>
        <w:jc w:val="left"/>
      </w:pPr>
      <w:bookmarkStart w:id="7" w:name="_GoBack"/>
      <w:r>
        <w:br w:type="page"/>
      </w:r>
    </w:p>
    <w:bookmarkEnd w:id="7"/>
    <w:p w:rsidR="00703383" w:rsidRPr="00BA3417" w:rsidRDefault="00703383" w:rsidP="00703383">
      <w:pPr>
        <w:pBdr>
          <w:top w:val="single" w:sz="4" w:space="1" w:color="auto"/>
        </w:pBdr>
        <w:rPr>
          <w:b/>
        </w:rPr>
      </w:pPr>
      <w:r w:rsidRPr="00BA3417">
        <w:rPr>
          <w:b/>
        </w:rPr>
        <w:lastRenderedPageBreak/>
        <w:t>Approche basée sur le risque dans les essais cliniques :</w:t>
      </w:r>
    </w:p>
    <w:p w:rsidR="00703383" w:rsidRDefault="00703383" w:rsidP="00703383">
      <w:pPr>
        <w:pStyle w:val="B1"/>
        <w:rPr>
          <w:lang w:val="en-US"/>
        </w:rPr>
      </w:pPr>
      <w:r w:rsidRPr="00703383">
        <w:rPr>
          <w:lang w:val="en-US"/>
        </w:rPr>
        <w:t xml:space="preserve">Reflection paper on risk based quality management in clinical trials, </w:t>
      </w:r>
      <w:r w:rsidRPr="00BE78DA">
        <w:rPr>
          <w:lang w:val="en-US"/>
        </w:rPr>
        <w:t>EMA, GCP Inspectors Working Group, 18 November 2013</w:t>
      </w:r>
    </w:p>
    <w:p w:rsidR="00703383" w:rsidRDefault="00703383" w:rsidP="00703383">
      <w:pPr>
        <w:pStyle w:val="B1"/>
        <w:rPr>
          <w:lang w:val="en-US"/>
        </w:rPr>
      </w:pPr>
      <w:r w:rsidRPr="00BE78DA">
        <w:rPr>
          <w:lang w:val="en-US"/>
        </w:rPr>
        <w:t>MHRA, Risk-adapted Approaches to the Management of Clinical Trials of Investigational Medicinal Products, October 2011</w:t>
      </w:r>
    </w:p>
    <w:p w:rsidR="00703383" w:rsidRPr="00BE78DA" w:rsidRDefault="00703383" w:rsidP="00703383">
      <w:pPr>
        <w:pStyle w:val="B1"/>
        <w:rPr>
          <w:lang w:val="en-US"/>
        </w:rPr>
      </w:pPr>
      <w:r w:rsidRPr="00BE78DA">
        <w:rPr>
          <w:lang w:val="en-US"/>
        </w:rPr>
        <w:t>DRAFT, Guidance for Industry, Oversight of Clinical Investigations — A Risk-Based Approach to Monitoring, FDA, August 2011</w:t>
      </w:r>
    </w:p>
    <w:p w:rsidR="00703383" w:rsidRPr="00BE78DA" w:rsidRDefault="00703383" w:rsidP="00703383">
      <w:pPr>
        <w:rPr>
          <w:lang w:val="en-US"/>
        </w:rPr>
      </w:pPr>
    </w:p>
    <w:p w:rsidR="00703383" w:rsidRDefault="00703383" w:rsidP="00703383">
      <w:pPr>
        <w:pBdr>
          <w:top w:val="single" w:sz="4" w:space="1" w:color="auto"/>
        </w:pBdr>
      </w:pPr>
      <w:r w:rsidRPr="00125E88">
        <w:rPr>
          <w:b/>
        </w:rPr>
        <w:t>Signature du CRF</w:t>
      </w:r>
      <w:r w:rsidRPr="00125E88">
        <w:t xml:space="preserve"> :</w:t>
      </w:r>
      <w:r>
        <w:t xml:space="preserve"> le médecin collaborateur de l'investigateur peut-il valider les cahiers d'observation (signature) ?</w:t>
      </w:r>
    </w:p>
    <w:p w:rsidR="00703383" w:rsidRDefault="00703383" w:rsidP="00703383">
      <w:pPr>
        <w:rPr>
          <w:i/>
          <w:iCs/>
        </w:rPr>
      </w:pPr>
      <w:r>
        <w:t>Les BPC précise que "</w:t>
      </w:r>
      <w:r>
        <w:rPr>
          <w:i/>
          <w:iCs/>
        </w:rPr>
        <w:t xml:space="preserve">4.9.1. L'investigateur s'assure que les données, communiquées au promoteur dans les cahiers d'observation et les rapports requis, sont recueillies et enregistrées au fur et à mesure, de manière exacte, complète et lisible.". </w:t>
      </w:r>
    </w:p>
    <w:p w:rsidR="00703383" w:rsidRDefault="00703383" w:rsidP="00703383">
      <w:pPr>
        <w:rPr>
          <w:iCs/>
        </w:rPr>
      </w:pPr>
      <w:r w:rsidRPr="00125E88">
        <w:rPr>
          <w:iCs/>
        </w:rPr>
        <w:t>Il n'est pas</w:t>
      </w:r>
      <w:r>
        <w:rPr>
          <w:iCs/>
        </w:rPr>
        <w:t xml:space="preserve"> expressément mentionné que l'investigateur principal valide lui-même les </w:t>
      </w:r>
      <w:r w:rsidRPr="00125E88">
        <w:rPr>
          <w:iCs/>
        </w:rPr>
        <w:t>cahier</w:t>
      </w:r>
      <w:r>
        <w:rPr>
          <w:iCs/>
        </w:rPr>
        <w:t>s d'observation. Il pourrait donc déléguer cette validation à un médecin de son équipe (liste de délégation des taches).</w:t>
      </w:r>
    </w:p>
    <w:p w:rsidR="00703383" w:rsidRDefault="00703383" w:rsidP="00703383">
      <w:pPr>
        <w:rPr>
          <w:iCs/>
        </w:rPr>
      </w:pPr>
    </w:p>
    <w:p w:rsidR="00703383" w:rsidRDefault="00703383" w:rsidP="00703383">
      <w:pPr>
        <w:pBdr>
          <w:top w:val="single" w:sz="4" w:space="1" w:color="auto"/>
        </w:pBdr>
      </w:pPr>
      <w:r w:rsidRPr="00BA0112">
        <w:rPr>
          <w:b/>
        </w:rPr>
        <w:t>Formation aux BPC</w:t>
      </w:r>
      <w:r w:rsidRPr="00BA0112">
        <w:t xml:space="preserve"> : quelles obligations en termes de sessions de </w:t>
      </w:r>
      <w:r>
        <w:t>"</w:t>
      </w:r>
      <w:r w:rsidRPr="00BA0112">
        <w:t>rafraîchissement</w:t>
      </w:r>
      <w:r>
        <w:t>"</w:t>
      </w:r>
      <w:r w:rsidRPr="00BA0112">
        <w:t xml:space="preserve"> (fréquence, contenu ?)</w:t>
      </w:r>
    </w:p>
    <w:p w:rsidR="00703383" w:rsidRDefault="00703383" w:rsidP="00703383">
      <w:pPr>
        <w:pBdr>
          <w:top w:val="single" w:sz="4" w:space="1" w:color="auto"/>
        </w:pBdr>
      </w:pPr>
      <w:r>
        <w:t>Les réglementations française et européenne ne prévoient pas de fréquence pour les sessions de "</w:t>
      </w:r>
      <w:r w:rsidRPr="00BA0112">
        <w:t>rafraîchissement</w:t>
      </w:r>
      <w:r>
        <w:t>".</w:t>
      </w:r>
    </w:p>
    <w:p w:rsidR="00703383" w:rsidRDefault="00703383" w:rsidP="00703383"/>
    <w:p w:rsidR="00703383" w:rsidRDefault="00703383" w:rsidP="00703383">
      <w:pPr>
        <w:pBdr>
          <w:top w:val="single" w:sz="4" w:space="1" w:color="auto"/>
        </w:pBdr>
      </w:pPr>
      <w:r w:rsidRPr="00BA0112">
        <w:rPr>
          <w:b/>
        </w:rPr>
        <w:t xml:space="preserve">Monitoring </w:t>
      </w:r>
      <w:proofErr w:type="spellStart"/>
      <w:r w:rsidRPr="00BA0112">
        <w:rPr>
          <w:b/>
        </w:rPr>
        <w:t>visit</w:t>
      </w:r>
      <w:proofErr w:type="spellEnd"/>
      <w:r w:rsidRPr="00BA0112">
        <w:rPr>
          <w:b/>
        </w:rPr>
        <w:t xml:space="preserve"> log</w:t>
      </w:r>
      <w:r w:rsidRPr="00BA0112">
        <w:t xml:space="preserve"> : quel référentiel ? </w:t>
      </w:r>
    </w:p>
    <w:p w:rsidR="00703383" w:rsidRDefault="00703383" w:rsidP="00703383">
      <w:pPr>
        <w:pBdr>
          <w:top w:val="single" w:sz="4" w:space="1" w:color="auto"/>
        </w:pBdr>
      </w:pPr>
      <w:r>
        <w:t>Aucun texte français, européen, ICH ou américain ne mentionne ce document. Il s'agit a priori d'une documentation issue de la pratique pour répondre à des exigences qualité.</w:t>
      </w:r>
    </w:p>
    <w:p w:rsidR="00703383" w:rsidRDefault="00703383" w:rsidP="00703383"/>
    <w:p w:rsidR="00703383" w:rsidRPr="003C196D" w:rsidRDefault="00703383" w:rsidP="00703383">
      <w:pPr>
        <w:pBdr>
          <w:top w:val="single" w:sz="4" w:space="1" w:color="auto"/>
        </w:pBdr>
        <w:rPr>
          <w:b/>
        </w:rPr>
      </w:pPr>
      <w:r>
        <w:rPr>
          <w:b/>
        </w:rPr>
        <w:t>Rôle et responsabilités de l'</w:t>
      </w:r>
      <w:r w:rsidRPr="003C196D">
        <w:rPr>
          <w:b/>
        </w:rPr>
        <w:t>investigateur</w:t>
      </w:r>
      <w:r>
        <w:rPr>
          <w:b/>
        </w:rPr>
        <w:t xml:space="preserve"> principal</w:t>
      </w:r>
      <w:r w:rsidRPr="003C196D">
        <w:rPr>
          <w:b/>
        </w:rPr>
        <w:t xml:space="preserve"> –</w:t>
      </w:r>
      <w:r>
        <w:rPr>
          <w:b/>
        </w:rPr>
        <w:t xml:space="preserve"> formation du personnel</w:t>
      </w:r>
    </w:p>
    <w:p w:rsidR="00703383" w:rsidRDefault="00703383" w:rsidP="00703383">
      <w:r>
        <w:t xml:space="preserve">Ce point est abordé dans les sections § 4.2.4 des BPC françaises et des BPC ICH. </w:t>
      </w:r>
    </w:p>
    <w:p w:rsidR="00703383" w:rsidRDefault="00703383" w:rsidP="00703383">
      <w:r>
        <w:t xml:space="preserve">Par contre, les BPC françaises sont plus détaillées que les ICH pour ce qui est du responsable de la formation du personnel : </w:t>
      </w:r>
    </w:p>
    <w:p w:rsidR="00703383" w:rsidRPr="00AF0378" w:rsidRDefault="00703383" w:rsidP="00703383">
      <w:pPr>
        <w:rPr>
          <w:i/>
        </w:rPr>
      </w:pPr>
      <w:r>
        <w:t>"4.2.4</w:t>
      </w:r>
      <w:r w:rsidRPr="009C6861">
        <w:rPr>
          <w:i/>
        </w:rPr>
        <w:t xml:space="preserve">. Pour </w:t>
      </w:r>
      <w:r w:rsidRPr="00AF0378">
        <w:rPr>
          <w:i/>
        </w:rPr>
        <w:t>l’ensemble du personnel impliqué dans la recherche ou assurant la continuité des services de</w:t>
      </w:r>
    </w:p>
    <w:p w:rsidR="00703383" w:rsidRPr="009C6861" w:rsidRDefault="00703383" w:rsidP="00703383">
      <w:pPr>
        <w:rPr>
          <w:i/>
        </w:rPr>
      </w:pPr>
      <w:r w:rsidRPr="00AF0378">
        <w:rPr>
          <w:i/>
        </w:rPr>
        <w:t xml:space="preserve"> </w:t>
      </w:r>
      <w:proofErr w:type="gramStart"/>
      <w:r w:rsidRPr="00AF0378">
        <w:rPr>
          <w:i/>
        </w:rPr>
        <w:t>soin</w:t>
      </w:r>
      <w:r w:rsidRPr="009C6861">
        <w:rPr>
          <w:b/>
          <w:i/>
        </w:rPr>
        <w:t>s</w:t>
      </w:r>
      <w:proofErr w:type="gramEnd"/>
      <w:r w:rsidRPr="009C6861">
        <w:rPr>
          <w:b/>
          <w:i/>
        </w:rPr>
        <w:t xml:space="preserve"> </w:t>
      </w:r>
      <w:r w:rsidRPr="009C6861">
        <w:rPr>
          <w:i/>
        </w:rPr>
        <w:t xml:space="preserve">(jour, nuit, garde), </w:t>
      </w:r>
      <w:r w:rsidRPr="00AF0378">
        <w:rPr>
          <w:b/>
          <w:i/>
        </w:rPr>
        <w:t>l’investigateur</w:t>
      </w:r>
      <w:r w:rsidRPr="009C6861">
        <w:rPr>
          <w:i/>
        </w:rPr>
        <w:t xml:space="preserve"> :</w:t>
      </w:r>
    </w:p>
    <w:p w:rsidR="00703383" w:rsidRPr="009C6861" w:rsidRDefault="00703383" w:rsidP="00703383">
      <w:pPr>
        <w:rPr>
          <w:i/>
        </w:rPr>
      </w:pPr>
      <w:r w:rsidRPr="009C6861">
        <w:rPr>
          <w:i/>
        </w:rPr>
        <w:t>– s’assure que le personnel est informé de façon adéquate sur le protocole, sur le ou les médicaments expérimentaux et a bien compris les fonctions qu’il doit remplir dans le cadre de la recherche ;</w:t>
      </w:r>
    </w:p>
    <w:p w:rsidR="00703383" w:rsidRDefault="00703383" w:rsidP="00703383">
      <w:pPr>
        <w:rPr>
          <w:i/>
        </w:rPr>
      </w:pPr>
      <w:r w:rsidRPr="009C6861">
        <w:rPr>
          <w:i/>
        </w:rPr>
        <w:t xml:space="preserve">– </w:t>
      </w:r>
      <w:r w:rsidRPr="009C6861">
        <w:rPr>
          <w:b/>
          <w:i/>
        </w:rPr>
        <w:t>prend en charge la formation</w:t>
      </w:r>
      <w:r w:rsidRPr="009C6861">
        <w:rPr>
          <w:i/>
        </w:rPr>
        <w:t xml:space="preserve"> nécessaire à ces fonctions ; (...)"</w:t>
      </w:r>
    </w:p>
    <w:p w:rsidR="00703383" w:rsidRDefault="00703383" w:rsidP="00703383"/>
    <w:p w:rsidR="00703383" w:rsidRPr="004D73F2" w:rsidRDefault="00703383" w:rsidP="00703383">
      <w:pPr>
        <w:pBdr>
          <w:top w:val="single" w:sz="4" w:space="1" w:color="auto"/>
        </w:pBdr>
      </w:pPr>
      <w:r w:rsidRPr="004D73F2">
        <w:rPr>
          <w:b/>
        </w:rPr>
        <w:t>Laboratoire de biologie</w:t>
      </w:r>
      <w:r w:rsidRPr="004D73F2">
        <w:t xml:space="preserve"> : documents requis pas les BPC</w:t>
      </w:r>
    </w:p>
    <w:p w:rsidR="00703383" w:rsidRDefault="00703383" w:rsidP="00703383">
      <w:pPr>
        <w:autoSpaceDE w:val="0"/>
        <w:autoSpaceDN w:val="0"/>
        <w:adjustRightInd w:val="0"/>
        <w:spacing w:before="0"/>
        <w:jc w:val="left"/>
        <w:rPr>
          <w:rFonts w:ascii="Univers" w:hAnsi="Univers" w:cs="Univers"/>
          <w:color w:val="2C2A2A"/>
          <w:sz w:val="16"/>
          <w:szCs w:val="16"/>
          <w:lang w:eastAsia="fr-FR"/>
        </w:rPr>
      </w:pPr>
    </w:p>
    <w:p w:rsidR="00703383" w:rsidRDefault="00703383" w:rsidP="00703383">
      <w:pPr>
        <w:pStyle w:val="B1"/>
        <w:rPr>
          <w:lang w:eastAsia="fr-FR"/>
        </w:rPr>
      </w:pPr>
      <w:r>
        <w:rPr>
          <w:lang w:eastAsia="fr-FR"/>
        </w:rPr>
        <w:t>§ 8.2.11 : "</w:t>
      </w:r>
      <w:r w:rsidRPr="004D73F2">
        <w:rPr>
          <w:b/>
          <w:lang w:eastAsia="fr-FR"/>
        </w:rPr>
        <w:t>Valeurs ou bornes des valeurs de référence</w:t>
      </w:r>
      <w:r>
        <w:rPr>
          <w:lang w:eastAsia="fr-FR"/>
        </w:rPr>
        <w:t xml:space="preserve"> des analyses de laboratoire ou des tests et examens prévus dans le protocole en vue d’évaluer l’efficacité ou la sécurité du médicament."</w:t>
      </w:r>
    </w:p>
    <w:p w:rsidR="00703383" w:rsidRDefault="00703383" w:rsidP="00703383">
      <w:pPr>
        <w:tabs>
          <w:tab w:val="left" w:pos="567"/>
        </w:tabs>
        <w:rPr>
          <w:lang w:eastAsia="fr-FR"/>
        </w:rPr>
      </w:pPr>
      <w:r>
        <w:rPr>
          <w:lang w:eastAsia="fr-FR"/>
        </w:rPr>
        <w:tab/>
        <w:t>Objectif : Documenter les valeurs de référence.</w:t>
      </w:r>
    </w:p>
    <w:p w:rsidR="00703383" w:rsidRDefault="00703383" w:rsidP="00703383">
      <w:pPr>
        <w:tabs>
          <w:tab w:val="left" w:pos="567"/>
        </w:tabs>
        <w:rPr>
          <w:lang w:eastAsia="fr-FR"/>
        </w:rPr>
      </w:pPr>
      <w:r>
        <w:rPr>
          <w:lang w:eastAsia="fr-FR"/>
        </w:rPr>
        <w:tab/>
        <w:t>À classer chez le Promoteur et chez l'Investigateur</w:t>
      </w:r>
    </w:p>
    <w:p w:rsidR="00703383" w:rsidRDefault="00703383" w:rsidP="00703383">
      <w:pPr>
        <w:rPr>
          <w:lang w:eastAsia="fr-FR"/>
        </w:rPr>
      </w:pPr>
    </w:p>
    <w:p w:rsidR="00703383" w:rsidRDefault="00703383" w:rsidP="00703383">
      <w:pPr>
        <w:pStyle w:val="B1"/>
        <w:rPr>
          <w:lang w:eastAsia="fr-FR"/>
        </w:rPr>
      </w:pPr>
      <w:r>
        <w:rPr>
          <w:lang w:eastAsia="fr-FR"/>
        </w:rPr>
        <w:t xml:space="preserve">§ 8.2.12 : "Document concernant la </w:t>
      </w:r>
      <w:r w:rsidRPr="004D73F2">
        <w:rPr>
          <w:b/>
          <w:lang w:eastAsia="fr-FR"/>
        </w:rPr>
        <w:t>méthode analytique, le contrôle de qualité</w:t>
      </w:r>
      <w:r>
        <w:rPr>
          <w:lang w:eastAsia="fr-FR"/>
        </w:rPr>
        <w:t>, l’expression et la transmission des résultats, si ce document a été établi par le biologiste comme le conseille l’arrêté du 26 novembre 1999 relatif à la bonne exécution des analyses de biologie médicale."</w:t>
      </w:r>
    </w:p>
    <w:p w:rsidR="00703383" w:rsidRDefault="00703383" w:rsidP="00703383">
      <w:pPr>
        <w:tabs>
          <w:tab w:val="left" w:pos="567"/>
        </w:tabs>
        <w:rPr>
          <w:lang w:eastAsia="fr-FR"/>
        </w:rPr>
      </w:pPr>
      <w:r>
        <w:rPr>
          <w:lang w:eastAsia="fr-FR"/>
        </w:rPr>
        <w:tab/>
        <w:t xml:space="preserve">Objectif </w:t>
      </w:r>
      <w:r w:rsidRPr="004D73F2">
        <w:t xml:space="preserve">: </w:t>
      </w:r>
      <w:r>
        <w:t xml:space="preserve">Documenter la méthode </w:t>
      </w:r>
      <w:r>
        <w:rPr>
          <w:lang w:eastAsia="fr-FR"/>
        </w:rPr>
        <w:t xml:space="preserve">analytique et le travail à réaliser par le laboratoire </w:t>
      </w:r>
      <w:r w:rsidR="00DE37C6">
        <w:rPr>
          <w:lang w:eastAsia="fr-FR"/>
        </w:rPr>
        <w:tab/>
      </w:r>
      <w:r>
        <w:rPr>
          <w:lang w:eastAsia="fr-FR"/>
        </w:rPr>
        <w:t>d’analyses pour la recherche.</w:t>
      </w:r>
    </w:p>
    <w:p w:rsidR="00703383" w:rsidRDefault="00703383" w:rsidP="00703383">
      <w:pPr>
        <w:tabs>
          <w:tab w:val="left" w:pos="567"/>
        </w:tabs>
        <w:rPr>
          <w:lang w:eastAsia="fr-FR"/>
        </w:rPr>
      </w:pPr>
      <w:r>
        <w:rPr>
          <w:lang w:eastAsia="fr-FR"/>
        </w:rPr>
        <w:tab/>
        <w:t>À classer chez le Promoteur et chez l'Investigateur</w:t>
      </w:r>
    </w:p>
    <w:p w:rsidR="00703383" w:rsidRDefault="00703383" w:rsidP="00703383">
      <w:pPr>
        <w:rPr>
          <w:lang w:eastAsia="fr-FR"/>
        </w:rPr>
      </w:pPr>
    </w:p>
    <w:p w:rsidR="00703383" w:rsidRDefault="00703383" w:rsidP="00703383">
      <w:pPr>
        <w:pStyle w:val="B1"/>
        <w:rPr>
          <w:lang w:eastAsia="fr-FR"/>
        </w:rPr>
      </w:pPr>
      <w:r>
        <w:rPr>
          <w:lang w:eastAsia="fr-FR"/>
        </w:rPr>
        <w:t xml:space="preserve">§ 8.2.12 : "Autorisations et documents administratifs prévus par les exigences législatives et réglementaires en vigueur (exemples : </w:t>
      </w:r>
      <w:r w:rsidRPr="0026679C">
        <w:rPr>
          <w:b/>
          <w:lang w:eastAsia="fr-FR"/>
        </w:rPr>
        <w:t>certification, accréditation, évaluation du contrôle de qualité interne ou externe</w:t>
      </w:r>
      <w:r>
        <w:rPr>
          <w:lang w:eastAsia="fr-FR"/>
        </w:rPr>
        <w:t>...)."</w:t>
      </w:r>
    </w:p>
    <w:p w:rsidR="00703383" w:rsidRDefault="00703383" w:rsidP="00703383">
      <w:pPr>
        <w:tabs>
          <w:tab w:val="left" w:pos="567"/>
        </w:tabs>
        <w:rPr>
          <w:lang w:eastAsia="fr-FR"/>
        </w:rPr>
      </w:pPr>
      <w:r>
        <w:rPr>
          <w:lang w:eastAsia="fr-FR"/>
        </w:rPr>
        <w:tab/>
      </w:r>
      <w:r w:rsidRPr="004D73F2">
        <w:rPr>
          <w:lang w:eastAsia="fr-FR"/>
        </w:rPr>
        <w:t xml:space="preserve">Objectif : </w:t>
      </w:r>
      <w:r>
        <w:rPr>
          <w:lang w:eastAsia="fr-FR"/>
        </w:rPr>
        <w:t xml:space="preserve">Prouver l'autorisation d’installations pour mener à bien les analyses ou </w:t>
      </w:r>
      <w:r w:rsidR="00DE37C6">
        <w:rPr>
          <w:lang w:eastAsia="fr-FR"/>
        </w:rPr>
        <w:tab/>
      </w:r>
      <w:r>
        <w:rPr>
          <w:lang w:eastAsia="fr-FR"/>
        </w:rPr>
        <w:t>tests.</w:t>
      </w:r>
    </w:p>
    <w:p w:rsidR="00703383" w:rsidRDefault="00703383" w:rsidP="00703383">
      <w:pPr>
        <w:tabs>
          <w:tab w:val="left" w:pos="567"/>
        </w:tabs>
        <w:rPr>
          <w:lang w:eastAsia="fr-FR"/>
        </w:rPr>
      </w:pPr>
      <w:r>
        <w:rPr>
          <w:lang w:eastAsia="fr-FR"/>
        </w:rPr>
        <w:tab/>
        <w:t>À classer chez le Promoteur et si nécessaire chez l'Investigateur</w:t>
      </w:r>
    </w:p>
    <w:p w:rsidR="00703383" w:rsidRDefault="00703383" w:rsidP="00703383">
      <w:pPr>
        <w:tabs>
          <w:tab w:val="left" w:pos="567"/>
        </w:tabs>
        <w:rPr>
          <w:lang w:eastAsia="fr-FR"/>
        </w:rPr>
      </w:pPr>
    </w:p>
    <w:p w:rsidR="00703383" w:rsidRPr="00794410" w:rsidRDefault="00703383" w:rsidP="00703383">
      <w:pPr>
        <w:pBdr>
          <w:top w:val="single" w:sz="4" w:space="1" w:color="auto"/>
        </w:pBdr>
        <w:rPr>
          <w:b/>
        </w:rPr>
      </w:pPr>
      <w:r w:rsidRPr="00794410">
        <w:rPr>
          <w:b/>
        </w:rPr>
        <w:t>Modèle de note d'information et consentement pour enfant</w:t>
      </w:r>
    </w:p>
    <w:p w:rsidR="00703383" w:rsidRDefault="00B141A3" w:rsidP="00703383">
      <w:r>
        <w:t>"</w:t>
      </w:r>
      <w:r w:rsidR="00703383" w:rsidRPr="00794410">
        <w:t>Recommandations pour l'examen par un Comité de Protection des Personnes d'un protocole de recherche concernant les mineurs</w:t>
      </w:r>
      <w:r>
        <w:t>"</w:t>
      </w:r>
      <w:r w:rsidR="00703383" w:rsidRPr="00794410">
        <w:t>, Commission de pédiatrie de la Conférence Nationale des Comités de Protection des Personnes, mai 2008</w:t>
      </w:r>
      <w:r w:rsidR="00703383">
        <w:t xml:space="preserve"> </w:t>
      </w:r>
      <w:r w:rsidR="00703383" w:rsidRPr="00794410">
        <w:t>[modèles de lettres d'information complémentaires destinées aux représentants légaux, aux enfants et aux adolescents]</w:t>
      </w:r>
    </w:p>
    <w:p w:rsidR="00703383" w:rsidRDefault="00703383" w:rsidP="00703383"/>
    <w:p w:rsidR="00703383" w:rsidRDefault="00703383" w:rsidP="00703383">
      <w:pPr>
        <w:pBdr>
          <w:top w:val="single" w:sz="4" w:space="1" w:color="auto"/>
        </w:pBdr>
      </w:pPr>
      <w:r w:rsidRPr="00DA35D6">
        <w:rPr>
          <w:b/>
        </w:rPr>
        <w:t>Situation d'urgence</w:t>
      </w:r>
      <w:r>
        <w:t xml:space="preserve"> : que disent les ICH et EMA pour le représentant légal ?</w:t>
      </w:r>
    </w:p>
    <w:p w:rsidR="00703383" w:rsidRDefault="00703383" w:rsidP="00703383">
      <w:pPr>
        <w:pBdr>
          <w:top w:val="single" w:sz="4" w:space="1" w:color="auto"/>
        </w:pBdr>
      </w:pPr>
      <w:r w:rsidRPr="007021EA">
        <w:rPr>
          <w:b/>
          <w:lang w:val="en-US"/>
        </w:rPr>
        <w:t>ICH §4.8.15</w:t>
      </w:r>
      <w:r>
        <w:rPr>
          <w:lang w:val="en-US"/>
        </w:rPr>
        <w:t xml:space="preserve"> </w:t>
      </w:r>
      <w:r w:rsidRPr="00DA35D6">
        <w:rPr>
          <w:i/>
          <w:iCs/>
          <w:lang w:val="en-US"/>
        </w:rPr>
        <w:t xml:space="preserve">"In emergency situations, when prior consent of the subject is not possible, the consent of the </w:t>
      </w:r>
      <w:r w:rsidRPr="00DA35D6">
        <w:rPr>
          <w:b/>
          <w:i/>
          <w:iCs/>
          <w:lang w:val="en-US"/>
        </w:rPr>
        <w:t>subject's legally acceptable representative</w:t>
      </w:r>
      <w:r w:rsidRPr="00DA35D6">
        <w:rPr>
          <w:i/>
          <w:iCs/>
          <w:lang w:val="en-US"/>
        </w:rPr>
        <w:t xml:space="preserve">, </w:t>
      </w:r>
      <w:r w:rsidRPr="00DA35D6">
        <w:rPr>
          <w:b/>
          <w:i/>
          <w:iCs/>
          <w:lang w:val="en-US"/>
        </w:rPr>
        <w:t>if present</w:t>
      </w:r>
      <w:r w:rsidRPr="00DA35D6">
        <w:rPr>
          <w:i/>
          <w:iCs/>
          <w:lang w:val="en-US"/>
        </w:rPr>
        <w:t>, should be requested. When prior consent of the subject is not possible, and the subject's legally acceptable representative is not available, enrolment of the subject should require measures described in the protocol and/or elsewhere, with documented approval/</w:t>
      </w:r>
      <w:proofErr w:type="spellStart"/>
      <w:r w:rsidRPr="00DA35D6">
        <w:rPr>
          <w:i/>
          <w:iCs/>
          <w:lang w:val="en-US"/>
        </w:rPr>
        <w:t>favourable</w:t>
      </w:r>
      <w:proofErr w:type="spellEnd"/>
      <w:r w:rsidRPr="00DA35D6">
        <w:rPr>
          <w:i/>
          <w:iCs/>
          <w:lang w:val="en-US"/>
        </w:rPr>
        <w:t xml:space="preserve"> opinion by the IRB/IEC, to protect the rights, safety and well-being of the subject and to ensure compliance with applicable regulatory requirements. The subject or the subject's legally acceptable representative should be informed about the trial as soon as possible and consent to continue and other consent as appropriate (see 4.8. </w:t>
      </w:r>
      <w:r>
        <w:rPr>
          <w:i/>
          <w:iCs/>
        </w:rPr>
        <w:t xml:space="preserve">1 0) </w:t>
      </w:r>
      <w:proofErr w:type="spellStart"/>
      <w:r>
        <w:rPr>
          <w:i/>
          <w:iCs/>
        </w:rPr>
        <w:t>should</w:t>
      </w:r>
      <w:proofErr w:type="spellEnd"/>
      <w:r>
        <w:rPr>
          <w:i/>
          <w:iCs/>
        </w:rPr>
        <w:t xml:space="preserve"> </w:t>
      </w:r>
      <w:proofErr w:type="spellStart"/>
      <w:r>
        <w:rPr>
          <w:i/>
          <w:iCs/>
        </w:rPr>
        <w:t>be</w:t>
      </w:r>
      <w:proofErr w:type="spellEnd"/>
      <w:r>
        <w:rPr>
          <w:i/>
          <w:iCs/>
        </w:rPr>
        <w:t xml:space="preserve"> </w:t>
      </w:r>
      <w:proofErr w:type="spellStart"/>
      <w:r>
        <w:rPr>
          <w:i/>
          <w:iCs/>
        </w:rPr>
        <w:t>requested</w:t>
      </w:r>
      <w:proofErr w:type="spellEnd"/>
      <w:r>
        <w:rPr>
          <w:i/>
          <w:iCs/>
        </w:rPr>
        <w:t>."</w:t>
      </w:r>
    </w:p>
    <w:p w:rsidR="00703383" w:rsidRDefault="00703383" w:rsidP="00703383">
      <w:pPr>
        <w:rPr>
          <w:b/>
        </w:rPr>
      </w:pPr>
    </w:p>
    <w:p w:rsidR="00703383" w:rsidRDefault="00703383" w:rsidP="00703383">
      <w:r w:rsidRPr="00BE780E">
        <w:rPr>
          <w:b/>
        </w:rPr>
        <w:t xml:space="preserve">Europe : </w:t>
      </w:r>
      <w:r w:rsidRPr="00BE780E">
        <w:t>la guidance CT2</w:t>
      </w:r>
      <w:r>
        <w:t xml:space="preserve"> (soumission au comité d'éthique) ne mentionne pas le cas particulier des situations d'urgence mais demande que le protocole </w:t>
      </w:r>
      <w:r w:rsidR="00DE37C6">
        <w:t>prévoie</w:t>
      </w:r>
      <w:r>
        <w:t xml:space="preserve"> les cas particuliers pour lesquels le patient ne peut pas donner son consentement (incluant les situations d'urgence).</w:t>
      </w:r>
    </w:p>
    <w:p w:rsidR="00703383" w:rsidRPr="00BE780E" w:rsidRDefault="00703383" w:rsidP="00703383">
      <w:pPr>
        <w:autoSpaceDE w:val="0"/>
        <w:autoSpaceDN w:val="0"/>
        <w:rPr>
          <w:i/>
          <w:iCs/>
          <w:lang w:val="en-US"/>
        </w:rPr>
      </w:pPr>
      <w:r w:rsidRPr="00BE780E">
        <w:rPr>
          <w:i/>
          <w:iCs/>
          <w:lang w:val="en-US"/>
        </w:rPr>
        <w:t>"Among other things, the clinical trial protocol should include:</w:t>
      </w:r>
    </w:p>
    <w:p w:rsidR="00703383" w:rsidRPr="00BE780E" w:rsidRDefault="00703383" w:rsidP="00703383">
      <w:pPr>
        <w:autoSpaceDE w:val="0"/>
        <w:autoSpaceDN w:val="0"/>
        <w:rPr>
          <w:i/>
          <w:iCs/>
          <w:lang w:val="en-US"/>
        </w:rPr>
      </w:pPr>
      <w:r w:rsidRPr="00BE780E">
        <w:rPr>
          <w:i/>
          <w:iCs/>
          <w:lang w:val="en-US"/>
        </w:rPr>
        <w:t xml:space="preserve">- </w:t>
      </w:r>
      <w:proofErr w:type="gramStart"/>
      <w:r w:rsidRPr="00BE780E">
        <w:rPr>
          <w:i/>
          <w:iCs/>
          <w:lang w:val="en-US"/>
        </w:rPr>
        <w:t>the</w:t>
      </w:r>
      <w:proofErr w:type="gramEnd"/>
      <w:r w:rsidRPr="00BE780E">
        <w:rPr>
          <w:i/>
          <w:iCs/>
          <w:lang w:val="en-US"/>
        </w:rPr>
        <w:t xml:space="preserve"> evaluation of the anticipated benefits and risks as required in Article 3(2)(a) of</w:t>
      </w:r>
      <w:r>
        <w:rPr>
          <w:i/>
          <w:iCs/>
          <w:lang w:val="en-US"/>
        </w:rPr>
        <w:t xml:space="preserve"> </w:t>
      </w:r>
      <w:r w:rsidRPr="00BE780E">
        <w:rPr>
          <w:i/>
          <w:iCs/>
          <w:lang w:val="en-US"/>
        </w:rPr>
        <w:t>Directive 2001/20/EC;</w:t>
      </w:r>
    </w:p>
    <w:p w:rsidR="00703383" w:rsidRPr="00BE780E" w:rsidRDefault="00703383" w:rsidP="00703383">
      <w:pPr>
        <w:autoSpaceDE w:val="0"/>
        <w:autoSpaceDN w:val="0"/>
        <w:rPr>
          <w:i/>
          <w:iCs/>
          <w:lang w:val="en-US"/>
        </w:rPr>
      </w:pPr>
      <w:r w:rsidRPr="00BE780E">
        <w:rPr>
          <w:i/>
          <w:iCs/>
          <w:lang w:val="en-US"/>
        </w:rPr>
        <w:t>- a justification for the selection of trial subjects, especially when including subjects who</w:t>
      </w:r>
      <w:r>
        <w:rPr>
          <w:i/>
          <w:iCs/>
          <w:lang w:val="en-US"/>
        </w:rPr>
        <w:t xml:space="preserve"> </w:t>
      </w:r>
      <w:r w:rsidRPr="00BE780E">
        <w:rPr>
          <w:i/>
          <w:iCs/>
          <w:lang w:val="en-US"/>
        </w:rPr>
        <w:t>are incapable to giving informed consent or other special populations;</w:t>
      </w:r>
    </w:p>
    <w:p w:rsidR="00703383" w:rsidRDefault="00703383" w:rsidP="00B141A3">
      <w:pPr>
        <w:autoSpaceDE w:val="0"/>
        <w:autoSpaceDN w:val="0"/>
        <w:rPr>
          <w:iCs/>
          <w:lang w:val="en-US"/>
        </w:rPr>
      </w:pPr>
      <w:r w:rsidRPr="00BE780E">
        <w:rPr>
          <w:i/>
          <w:iCs/>
          <w:lang w:val="en-US"/>
        </w:rPr>
        <w:t xml:space="preserve">- </w:t>
      </w:r>
      <w:r w:rsidRPr="00BE780E">
        <w:rPr>
          <w:b/>
          <w:i/>
          <w:iCs/>
          <w:lang w:val="en-US"/>
        </w:rPr>
        <w:t>a description of the recruitment and informed consent procedures, especially when subjects who are (temporarily or permanently) incapable of giving informed consent are included or when a procedure with witnessed consent is to be used</w:t>
      </w:r>
      <w:r w:rsidRPr="00BE780E">
        <w:rPr>
          <w:i/>
          <w:iCs/>
          <w:lang w:val="en-US"/>
        </w:rPr>
        <w:t>;</w:t>
      </w:r>
      <w:r>
        <w:rPr>
          <w:i/>
          <w:iCs/>
          <w:lang w:val="en-US"/>
        </w:rPr>
        <w:t xml:space="preserve">(…)" </w:t>
      </w:r>
      <w:r w:rsidRPr="00B141A3">
        <w:rPr>
          <w:iCs/>
          <w:lang w:val="en-US"/>
        </w:rPr>
        <w:t>(</w:t>
      </w:r>
      <w:r w:rsidR="00B141A3">
        <w:rPr>
          <w:iCs/>
          <w:lang w:val="en-US"/>
        </w:rPr>
        <w:t xml:space="preserve">CT2 - </w:t>
      </w:r>
      <w:r w:rsidR="00B141A3" w:rsidRPr="00B141A3">
        <w:rPr>
          <w:iCs/>
          <w:lang w:val="en-US"/>
        </w:rPr>
        <w:t xml:space="preserve">Detailed guidance on the application format and documentation to be submitted in an application </w:t>
      </w:r>
      <w:r w:rsidR="00B141A3" w:rsidRPr="00B141A3">
        <w:rPr>
          <w:iCs/>
          <w:lang w:val="en-US"/>
        </w:rPr>
        <w:lastRenderedPageBreak/>
        <w:t>for an Ethics Committee opinion on the clinical trial on medicinal products for human use, Revision 1, February 2006</w:t>
      </w:r>
      <w:r w:rsidRPr="00B141A3">
        <w:rPr>
          <w:iCs/>
          <w:lang w:val="en-US"/>
        </w:rPr>
        <w:t>)</w:t>
      </w:r>
    </w:p>
    <w:p w:rsidR="00B141A3" w:rsidRPr="00B141A3" w:rsidRDefault="00B141A3" w:rsidP="00B141A3">
      <w:pPr>
        <w:autoSpaceDE w:val="0"/>
        <w:autoSpaceDN w:val="0"/>
        <w:rPr>
          <w:b/>
          <w:lang w:val="en-US"/>
        </w:rPr>
      </w:pPr>
    </w:p>
    <w:p w:rsidR="00703383" w:rsidRDefault="00703383" w:rsidP="00703383">
      <w:r w:rsidRPr="007021EA">
        <w:rPr>
          <w:b/>
        </w:rPr>
        <w:t>En France</w:t>
      </w:r>
      <w:r>
        <w:t xml:space="preserve"> on ne parle pas du représentant légal mais de </w:t>
      </w:r>
      <w:r w:rsidRPr="007021EA">
        <w:t xml:space="preserve">membres de </w:t>
      </w:r>
      <w:r>
        <w:t>l</w:t>
      </w:r>
      <w:r w:rsidRPr="007021EA">
        <w:t xml:space="preserve">a famille </w:t>
      </w:r>
      <w:r>
        <w:t xml:space="preserve">du patient </w:t>
      </w:r>
      <w:r w:rsidRPr="007021EA">
        <w:t>ou personne de confiance</w:t>
      </w:r>
      <w:r>
        <w:t xml:space="preserve"> :</w:t>
      </w:r>
    </w:p>
    <w:p w:rsidR="00703383" w:rsidRPr="00703383" w:rsidRDefault="00703383" w:rsidP="00703383">
      <w:pPr>
        <w:rPr>
          <w:lang w:val="en-US"/>
        </w:rPr>
      </w:pPr>
      <w:r>
        <w:t>"</w:t>
      </w:r>
      <w:r>
        <w:rPr>
          <w:i/>
          <w:iCs/>
        </w:rPr>
        <w:t>En cas de recherche biomédicales à mettre en œuvre dans des situations d'urgence qui ne permettent pas de recueillir le consentement préalable de la personne qui y sera soumise</w:t>
      </w:r>
      <w:r w:rsidRPr="007021EA">
        <w:rPr>
          <w:b/>
          <w:i/>
          <w:iCs/>
        </w:rPr>
        <w:t>, l</w:t>
      </w:r>
      <w:r w:rsidRPr="007021EA">
        <w:rPr>
          <w:rStyle w:val="lev"/>
          <w:b w:val="0"/>
          <w:i/>
          <w:iCs/>
        </w:rPr>
        <w:t xml:space="preserve">e protocole présenté à l'avis du comité mentionné à l'article </w:t>
      </w:r>
      <w:r w:rsidRPr="001A49D3">
        <w:rPr>
          <w:rStyle w:val="lev"/>
          <w:b w:val="0"/>
          <w:i/>
          <w:iCs/>
        </w:rPr>
        <w:t>L. 1123-1</w:t>
      </w:r>
      <w:r w:rsidRPr="007021EA">
        <w:rPr>
          <w:rStyle w:val="lev"/>
          <w:b w:val="0"/>
          <w:i/>
          <w:iCs/>
        </w:rPr>
        <w:t xml:space="preserve"> peut prévoir que le consentement de cette personne n'est pas recherché et que seul est sollicité celui des </w:t>
      </w:r>
      <w:r w:rsidRPr="001A49D3">
        <w:rPr>
          <w:rStyle w:val="lev"/>
          <w:b w:val="0"/>
          <w:i/>
          <w:iCs/>
        </w:rPr>
        <w:t xml:space="preserve">membres de sa famille ou celui de la personne de confiance </w:t>
      </w:r>
      <w:r w:rsidRPr="007021EA">
        <w:rPr>
          <w:rStyle w:val="lev"/>
          <w:b w:val="0"/>
          <w:i/>
          <w:iCs/>
        </w:rPr>
        <w:t xml:space="preserve">mentionnée à l'article </w:t>
      </w:r>
      <w:hyperlink r:id="rId7" w:history="1">
        <w:r w:rsidRPr="001A49D3">
          <w:rPr>
            <w:rStyle w:val="lev"/>
            <w:b w:val="0"/>
            <w:i/>
            <w:iCs/>
          </w:rPr>
          <w:t>L. 1111-6</w:t>
        </w:r>
      </w:hyperlink>
      <w:r w:rsidRPr="007021EA">
        <w:rPr>
          <w:rStyle w:val="lev"/>
          <w:b w:val="0"/>
          <w:i/>
          <w:iCs/>
        </w:rPr>
        <w:t xml:space="preserve"> dans les conditions prévues à l'article </w:t>
      </w:r>
      <w:hyperlink r:id="rId8" w:history="1">
        <w:r w:rsidRPr="001A49D3">
          <w:rPr>
            <w:rStyle w:val="lev"/>
            <w:b w:val="0"/>
            <w:i/>
            <w:iCs/>
          </w:rPr>
          <w:t>L. 1122-1-1</w:t>
        </w:r>
      </w:hyperlink>
      <w:r w:rsidRPr="007021EA">
        <w:rPr>
          <w:rStyle w:val="lev"/>
          <w:b w:val="0"/>
          <w:i/>
          <w:iCs/>
        </w:rPr>
        <w:t xml:space="preserve">, </w:t>
      </w:r>
      <w:r w:rsidRPr="001A49D3">
        <w:rPr>
          <w:rStyle w:val="lev"/>
          <w:b w:val="0"/>
          <w:i/>
          <w:iCs/>
        </w:rPr>
        <w:t>s'ils sont présents.</w:t>
      </w:r>
      <w:r w:rsidRPr="001A49D3">
        <w:rPr>
          <w:rStyle w:val="lev"/>
        </w:rPr>
        <w:t xml:space="preserve"> L'intéressé</w:t>
      </w:r>
      <w:r>
        <w:rPr>
          <w:i/>
          <w:iCs/>
        </w:rPr>
        <w:t xml:space="preserve"> est informé dès que possible et son consentement lui est demandé pour la poursuite éventuelle de cette recherche. Il peut également s'opposer à l'utilisation des données le concernant dans le cadre de cette recherche</w:t>
      </w:r>
      <w:r>
        <w:t xml:space="preserve">." </w:t>
      </w:r>
      <w:r w:rsidRPr="00703383">
        <w:rPr>
          <w:lang w:val="en-US"/>
        </w:rPr>
        <w:t xml:space="preserve">(Article </w:t>
      </w:r>
      <w:hyperlink r:id="rId9" w:history="1">
        <w:r w:rsidRPr="00703383">
          <w:rPr>
            <w:rStyle w:val="Lienhypertexte"/>
            <w:lang w:val="en-US"/>
          </w:rPr>
          <w:t>L. 1122-1-2</w:t>
        </w:r>
      </w:hyperlink>
      <w:r w:rsidRPr="00703383">
        <w:rPr>
          <w:lang w:val="en-US"/>
        </w:rPr>
        <w:t xml:space="preserve"> du CSP)</w:t>
      </w:r>
    </w:p>
    <w:p w:rsidR="00703383" w:rsidRPr="00703383" w:rsidRDefault="00703383" w:rsidP="00703383">
      <w:pPr>
        <w:rPr>
          <w:lang w:val="en-US"/>
        </w:rPr>
      </w:pPr>
    </w:p>
    <w:p w:rsidR="00703383" w:rsidRDefault="00703383" w:rsidP="00703383">
      <w:pPr>
        <w:rPr>
          <w:lang w:val="en-US"/>
        </w:rPr>
      </w:pPr>
      <w:proofErr w:type="gramStart"/>
      <w:r w:rsidRPr="007021EA">
        <w:rPr>
          <w:b/>
          <w:lang w:val="en-US"/>
        </w:rPr>
        <w:t>USA</w:t>
      </w:r>
      <w:r w:rsidRPr="007021EA">
        <w:rPr>
          <w:lang w:val="en-US"/>
        </w:rPr>
        <w:t xml:space="preserve"> :</w:t>
      </w:r>
      <w:proofErr w:type="gramEnd"/>
      <w:r w:rsidRPr="007021EA">
        <w:rPr>
          <w:lang w:val="en-US"/>
        </w:rPr>
        <w:t xml:space="preserve"> </w:t>
      </w:r>
      <w:proofErr w:type="spellStart"/>
      <w:r w:rsidRPr="007021EA">
        <w:rPr>
          <w:lang w:val="en-US"/>
        </w:rPr>
        <w:t>il</w:t>
      </w:r>
      <w:proofErr w:type="spellEnd"/>
      <w:r w:rsidRPr="007021EA">
        <w:rPr>
          <w:lang w:val="en-US"/>
        </w:rPr>
        <w:t xml:space="preserve"> </w:t>
      </w:r>
      <w:proofErr w:type="spellStart"/>
      <w:r w:rsidRPr="007021EA">
        <w:rPr>
          <w:lang w:val="en-US"/>
        </w:rPr>
        <w:t>existe</w:t>
      </w:r>
      <w:proofErr w:type="spellEnd"/>
      <w:r w:rsidRPr="007021EA">
        <w:rPr>
          <w:lang w:val="en-US"/>
        </w:rPr>
        <w:t xml:space="preserve"> </w:t>
      </w:r>
      <w:proofErr w:type="spellStart"/>
      <w:r w:rsidRPr="007021EA">
        <w:rPr>
          <w:lang w:val="en-US"/>
        </w:rPr>
        <w:t>une</w:t>
      </w:r>
      <w:proofErr w:type="spellEnd"/>
      <w:r w:rsidRPr="007021EA">
        <w:rPr>
          <w:lang w:val="en-US"/>
        </w:rPr>
        <w:t xml:space="preserve"> </w:t>
      </w:r>
      <w:r>
        <w:rPr>
          <w:lang w:val="en-US"/>
        </w:rPr>
        <w:t>"</w:t>
      </w:r>
      <w:r w:rsidRPr="007021EA">
        <w:rPr>
          <w:lang w:val="en-US"/>
        </w:rPr>
        <w:t>Guidance for Institutional Review Boards, Clinical Investigators, and Sponsors - Exception from Informed Consent Requirements for Emergency Research</w:t>
      </w:r>
      <w:r>
        <w:rPr>
          <w:lang w:val="en-US"/>
        </w:rPr>
        <w:t>"</w:t>
      </w:r>
      <w:r w:rsidRPr="007021EA">
        <w:rPr>
          <w:lang w:val="en-US"/>
        </w:rPr>
        <w:t>, March 2011</w:t>
      </w:r>
    </w:p>
    <w:p w:rsidR="00703383" w:rsidRPr="007021EA" w:rsidRDefault="00703383" w:rsidP="00703383">
      <w:pPr>
        <w:rPr>
          <w:b/>
          <w:lang w:val="en-US"/>
        </w:rPr>
      </w:pPr>
    </w:p>
    <w:p w:rsidR="00703383" w:rsidRPr="003A018D" w:rsidRDefault="00703383" w:rsidP="00703383">
      <w:pPr>
        <w:pBdr>
          <w:top w:val="single" w:sz="4" w:space="1" w:color="auto"/>
        </w:pBdr>
        <w:rPr>
          <w:b/>
        </w:rPr>
      </w:pPr>
      <w:r w:rsidRPr="003A018D">
        <w:rPr>
          <w:b/>
        </w:rPr>
        <w:t>Protection des données personnelles</w:t>
      </w:r>
      <w:r>
        <w:rPr>
          <w:b/>
        </w:rPr>
        <w:t xml:space="preserve"> : fichiers de médecins</w:t>
      </w:r>
      <w:r w:rsidRPr="00AF0378">
        <w:t xml:space="preserve"> </w:t>
      </w:r>
      <w:r w:rsidRPr="00AF0378">
        <w:rPr>
          <w:b/>
        </w:rPr>
        <w:t>détenus par les laboratoires ou CRO</w:t>
      </w:r>
    </w:p>
    <w:p w:rsidR="00703383" w:rsidRDefault="00703383" w:rsidP="00703383">
      <w:r>
        <w:t xml:space="preserve">Pour les fichiers de </w:t>
      </w:r>
      <w:r w:rsidRPr="00925307">
        <w:rPr>
          <w:u w:val="single"/>
        </w:rPr>
        <w:t>médecins appelés à réaliser des recherches biomédicales</w:t>
      </w:r>
      <w:r>
        <w:rPr>
          <w:u w:val="single"/>
        </w:rPr>
        <w:t xml:space="preserve"> (interventionnelles)</w:t>
      </w:r>
      <w:r>
        <w:t xml:space="preserve"> :</w:t>
      </w:r>
    </w:p>
    <w:p w:rsidR="00703383" w:rsidRPr="00D64479" w:rsidRDefault="00703383" w:rsidP="00703383">
      <w:pPr>
        <w:pStyle w:val="B1"/>
      </w:pPr>
      <w:r w:rsidRPr="00D64479">
        <w:t>soit le responsable du traitement des données a signé un engagement de conformité à la MR001 qui couvre ce traitement de données</w:t>
      </w:r>
    </w:p>
    <w:p w:rsidR="00703383" w:rsidRPr="00D64479" w:rsidRDefault="00703383" w:rsidP="00703383">
      <w:pPr>
        <w:pStyle w:val="B1"/>
      </w:pPr>
      <w:r w:rsidRPr="00D64479">
        <w:t xml:space="preserve">soit le responsable du traitement des données n'a pas signé un engagement de conformité à la MR001 et il doit faire une </w:t>
      </w:r>
      <w:r w:rsidRPr="00D64479">
        <w:rPr>
          <w:rStyle w:val="lev"/>
          <w:b w:val="0"/>
        </w:rPr>
        <w:t>déclaration normale</w:t>
      </w:r>
      <w:r w:rsidRPr="00D64479">
        <w:t xml:space="preserve"> non soumise à autorisation.</w:t>
      </w:r>
    </w:p>
    <w:p w:rsidR="00703383" w:rsidRDefault="00703383" w:rsidP="00703383">
      <w:r w:rsidRPr="00D64479">
        <w:t xml:space="preserve">Pour les fichiers de </w:t>
      </w:r>
      <w:r w:rsidRPr="00D64479">
        <w:rPr>
          <w:u w:val="single"/>
        </w:rPr>
        <w:t xml:space="preserve">médecins appelés à réaliser des recherches non </w:t>
      </w:r>
      <w:r>
        <w:rPr>
          <w:u w:val="single"/>
        </w:rPr>
        <w:t>interventionnelles</w:t>
      </w:r>
      <w:r w:rsidRPr="00D64479">
        <w:t xml:space="preserve">, il faut faire </w:t>
      </w:r>
      <w:r w:rsidRPr="00D64479">
        <w:rPr>
          <w:rStyle w:val="lev"/>
          <w:b w:val="0"/>
        </w:rPr>
        <w:t>une déclaration</w:t>
      </w:r>
      <w:r w:rsidRPr="00925307">
        <w:rPr>
          <w:rStyle w:val="lev"/>
          <w:b w:val="0"/>
        </w:rPr>
        <w:t xml:space="preserve"> normale</w:t>
      </w:r>
      <w:r>
        <w:t xml:space="preserve"> non soumise à autorisation.</w:t>
      </w:r>
    </w:p>
    <w:p w:rsidR="00703383" w:rsidRDefault="00703383" w:rsidP="00703383">
      <w:r>
        <w:t>Rappel : la MR001 couvre les traitements de données personnelles mis en œuvre dans le cadre :</w:t>
      </w:r>
    </w:p>
    <w:p w:rsidR="00703383" w:rsidRDefault="00703383" w:rsidP="00703383">
      <w:pPr>
        <w:pStyle w:val="B1"/>
      </w:pPr>
      <w:r>
        <w:t xml:space="preserve">des recherches biomédicales portant sur les médicaments, dispositifs et produits visés </w:t>
      </w:r>
      <w:r w:rsidRPr="00170C66">
        <w:t>aux Livres I et II de la 5ème partie du Code de la Santé Publique</w:t>
      </w:r>
      <w:r>
        <w:t>,</w:t>
      </w:r>
    </w:p>
    <w:p w:rsidR="00703383" w:rsidRDefault="00703383" w:rsidP="00703383">
      <w:pPr>
        <w:pStyle w:val="B1"/>
      </w:pPr>
      <w:r>
        <w:t>des études thérapeutiques, médicamenteuses ou non, utilisant la même méthodologie,</w:t>
      </w:r>
    </w:p>
    <w:p w:rsidR="00703383" w:rsidRDefault="00703383" w:rsidP="00703383">
      <w:pPr>
        <w:pStyle w:val="B1"/>
      </w:pPr>
      <w:r>
        <w:t>des recherches biomédicales dans les domaines de la physiologie, de la physiopathologie,</w:t>
      </w:r>
    </w:p>
    <w:p w:rsidR="00703383" w:rsidRDefault="00703383" w:rsidP="00703383">
      <w:pPr>
        <w:pStyle w:val="B1"/>
      </w:pPr>
      <w:r>
        <w:t xml:space="preserve">des études pharmacogénétiques / </w:t>
      </w:r>
      <w:proofErr w:type="spellStart"/>
      <w:r>
        <w:t>pharmacogénomiques</w:t>
      </w:r>
      <w:proofErr w:type="spellEnd"/>
      <w:r>
        <w:t xml:space="preserve"> / génomiques / </w:t>
      </w:r>
      <w:proofErr w:type="spellStart"/>
      <w:r>
        <w:t>protéomiques</w:t>
      </w:r>
      <w:proofErr w:type="spellEnd"/>
      <w:r>
        <w:t xml:space="preserve"> ancillaires réalisées dans le cadre des recherches biomédicales visées ci-dessus,</w:t>
      </w:r>
    </w:p>
    <w:p w:rsidR="00703383" w:rsidRDefault="00703383" w:rsidP="00703383">
      <w:pPr>
        <w:pStyle w:val="B1"/>
      </w:pPr>
      <w:r>
        <w:t xml:space="preserve">des études pharmacogénétiques / </w:t>
      </w:r>
      <w:proofErr w:type="spellStart"/>
      <w:r>
        <w:t>pharmacogénomiques</w:t>
      </w:r>
      <w:proofErr w:type="spellEnd"/>
      <w:r>
        <w:t xml:space="preserve"> non ancillaires à d’autres études entrant dans le cadre des recherches biomédicales visées ci-dessus,</w:t>
      </w:r>
    </w:p>
    <w:p w:rsidR="00703383" w:rsidRDefault="00703383" w:rsidP="00703383">
      <w:pPr>
        <w:pStyle w:val="B1"/>
      </w:pPr>
      <w:r>
        <w:t xml:space="preserve">des études rétrospectives ou prospectives de génomique et de </w:t>
      </w:r>
      <w:proofErr w:type="spellStart"/>
      <w:r>
        <w:t>protéomique</w:t>
      </w:r>
      <w:proofErr w:type="spellEnd"/>
      <w:r>
        <w:t xml:space="preserve"> entrant dans le cadre des recherches biomédicales et dont l’objectif est de valider des informations diagnostiques, pronostiques et prédictives d’une réponse thérapeutique (comme par exemple en cancérologie).</w:t>
      </w:r>
    </w:p>
    <w:p w:rsidR="00DE37C6" w:rsidRDefault="00DE37C6">
      <w:pPr>
        <w:spacing w:before="0"/>
        <w:jc w:val="left"/>
      </w:pPr>
      <w:r>
        <w:br w:type="page"/>
      </w:r>
    </w:p>
    <w:p w:rsidR="00703383" w:rsidRPr="003A018D" w:rsidRDefault="00703383" w:rsidP="00703383">
      <w:pPr>
        <w:pBdr>
          <w:top w:val="single" w:sz="4" w:space="1" w:color="auto"/>
        </w:pBdr>
        <w:rPr>
          <w:b/>
        </w:rPr>
      </w:pPr>
      <w:r w:rsidRPr="003A018D">
        <w:rPr>
          <w:b/>
        </w:rPr>
        <w:lastRenderedPageBreak/>
        <w:t xml:space="preserve">Médicaments Expérimentaux : Libération en 2 étapes : </w:t>
      </w:r>
    </w:p>
    <w:p w:rsidR="00703383" w:rsidRPr="003A018D" w:rsidRDefault="00703383" w:rsidP="00703383">
      <w:pPr>
        <w:rPr>
          <w:i/>
        </w:rPr>
      </w:pPr>
      <w:r>
        <w:t>"43</w:t>
      </w:r>
      <w:r w:rsidRPr="003A018D">
        <w:rPr>
          <w:i/>
        </w:rPr>
        <w:t>. Les médicaments expérimentaux restent sous le contrôle du promoteur tant que la procédure de libération n’a pas été effectuée. Cette procédure de libération comprend les deux étapes suivantes :</w:t>
      </w:r>
    </w:p>
    <w:p w:rsidR="00703383" w:rsidRPr="003A018D" w:rsidRDefault="00703383" w:rsidP="00703383">
      <w:pPr>
        <w:pStyle w:val="B1"/>
        <w:rPr>
          <w:i/>
        </w:rPr>
      </w:pPr>
      <w:r w:rsidRPr="003A018D">
        <w:rPr>
          <w:i/>
        </w:rPr>
        <w:t xml:space="preserve">certification par le pharmacien responsable en France ou par la personne qualifiée dans un </w:t>
      </w:r>
      <w:proofErr w:type="spellStart"/>
      <w:r w:rsidRPr="003A018D">
        <w:rPr>
          <w:i/>
        </w:rPr>
        <w:t>Etat</w:t>
      </w:r>
      <w:proofErr w:type="spellEnd"/>
      <w:r w:rsidRPr="003A018D">
        <w:rPr>
          <w:i/>
        </w:rPr>
        <w:t xml:space="preserve"> membre de la Communauté européenne ou dans un </w:t>
      </w:r>
      <w:proofErr w:type="spellStart"/>
      <w:r w:rsidRPr="003A018D">
        <w:rPr>
          <w:i/>
        </w:rPr>
        <w:t>Etat</w:t>
      </w:r>
      <w:proofErr w:type="spellEnd"/>
      <w:r w:rsidRPr="003A018D">
        <w:rPr>
          <w:i/>
        </w:rPr>
        <w:t xml:space="preserve"> partie à l’accord sur l’EEE,</w:t>
      </w:r>
    </w:p>
    <w:p w:rsidR="00703383" w:rsidRPr="003A018D" w:rsidRDefault="00703383" w:rsidP="00703383">
      <w:pPr>
        <w:pStyle w:val="B1"/>
        <w:rPr>
          <w:i/>
        </w:rPr>
      </w:pPr>
      <w:r w:rsidRPr="003A018D">
        <w:rPr>
          <w:i/>
        </w:rPr>
        <w:t>libération par le promoteur pour utilisation dans l’essai clinique, dans le respect des exigences énoncées dans la demande d’autorisation de la recherche visée à l’article 9 (Commencement d’un essai clinique) de la Directive 2001/20/CE et mentionnée à l’article L. 1123-8 du code de la santé publique.</w:t>
      </w:r>
    </w:p>
    <w:p w:rsidR="00703383" w:rsidRPr="003A018D" w:rsidRDefault="00703383" w:rsidP="00703383">
      <w:pPr>
        <w:rPr>
          <w:i/>
        </w:rPr>
      </w:pPr>
      <w:r>
        <w:rPr>
          <w:i/>
        </w:rPr>
        <w:t>Ces deux étapes sont consignées</w:t>
      </w:r>
      <w:r w:rsidRPr="003A018D">
        <w:rPr>
          <w:i/>
        </w:rPr>
        <w:t xml:space="preserve"> et la documentation correspondante conservée dans les documents essentiels relatifs à la recherche biomédicale par le promoteur ou par une personne agissant pour son compte.</w:t>
      </w:r>
    </w:p>
    <w:p w:rsidR="00703383" w:rsidRPr="00926980" w:rsidRDefault="00703383" w:rsidP="00703383">
      <w:r w:rsidRPr="003A018D">
        <w:rPr>
          <w:i/>
        </w:rPr>
        <w:t xml:space="preserve">Le promoteur s’assure que les informations décrites dans la demande d’autorisation de l’essai clinique et prises en compte par le pharmacien responsable en France ou par une personne qualifiée dans un </w:t>
      </w:r>
      <w:proofErr w:type="spellStart"/>
      <w:r w:rsidRPr="003A018D">
        <w:rPr>
          <w:i/>
        </w:rPr>
        <w:t>Etat</w:t>
      </w:r>
      <w:proofErr w:type="spellEnd"/>
      <w:r w:rsidRPr="003A018D">
        <w:rPr>
          <w:i/>
        </w:rPr>
        <w:t xml:space="preserve"> membre de la Communauté européenne ou dans un </w:t>
      </w:r>
      <w:proofErr w:type="spellStart"/>
      <w:r w:rsidRPr="003A018D">
        <w:rPr>
          <w:i/>
        </w:rPr>
        <w:t>Etat</w:t>
      </w:r>
      <w:proofErr w:type="spellEnd"/>
      <w:r w:rsidRPr="003A018D">
        <w:rPr>
          <w:i/>
        </w:rPr>
        <w:t xml:space="preserve"> partie à l’accord sur l’EEE sont conformes à ce qui a été réellement accepté par les autorités compétentes. Afin de respecter de façon optimale cette exigence, des dispositions appropriées sont établies en élaborant une procédure de gestion des modifications du dossier de spécification du médicament et en mettant en place une convention entre le promoteur et le pharmacien responsable en France ou la personne qualifiée dans un </w:t>
      </w:r>
      <w:proofErr w:type="spellStart"/>
      <w:r w:rsidRPr="003A018D">
        <w:rPr>
          <w:i/>
        </w:rPr>
        <w:t>Etat</w:t>
      </w:r>
      <w:proofErr w:type="spellEnd"/>
      <w:r w:rsidRPr="003A018D">
        <w:rPr>
          <w:i/>
        </w:rPr>
        <w:t xml:space="preserve"> membre de la Communauté européenne ou dans un </w:t>
      </w:r>
      <w:proofErr w:type="spellStart"/>
      <w:r w:rsidRPr="003A018D">
        <w:rPr>
          <w:i/>
        </w:rPr>
        <w:t>Etat</w:t>
      </w:r>
      <w:proofErr w:type="spellEnd"/>
      <w:r w:rsidRPr="003A018D">
        <w:rPr>
          <w:i/>
        </w:rPr>
        <w:t xml:space="preserve"> partie à l’accord sur l’EEE."</w:t>
      </w:r>
      <w:r>
        <w:t xml:space="preserve"> (Décision du 13 janvier 2011 relative aux Bonnes Pratiques de Fabrication et son annexe parue au Bulletin Officiel spécial n°2011/8 bis du ministère du travail, de l'emploi et de la santé (ligne directrice 13 : Fabrication des médicaments expérimentaux)</w:t>
      </w:r>
      <w:bookmarkEnd w:id="0"/>
      <w:bookmarkEnd w:id="1"/>
      <w:bookmarkEnd w:id="2"/>
      <w:bookmarkEnd w:id="3"/>
      <w:bookmarkEnd w:id="4"/>
      <w:bookmarkEnd w:id="5"/>
      <w:bookmarkEnd w:id="6"/>
    </w:p>
    <w:sectPr w:rsidR="00703383" w:rsidRPr="00926980" w:rsidSect="00071099">
      <w:headerReference w:type="default" r:id="rId10"/>
      <w:footerReference w:type="default" r:id="rId11"/>
      <w:headerReference w:type="first" r:id="rId12"/>
      <w:footerReference w:type="first" r:id="rId13"/>
      <w:endnotePr>
        <w:numFmt w:val="decimal"/>
      </w:endnotePr>
      <w:pgSz w:w="11907" w:h="16840" w:code="9"/>
      <w:pgMar w:top="1418" w:right="851" w:bottom="851" w:left="3686" w:header="425" w:footer="50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A75" w:rsidRDefault="005A5A75" w:rsidP="00E574C3">
      <w:pPr>
        <w:spacing w:before="0"/>
      </w:pPr>
      <w:r>
        <w:separator/>
      </w:r>
    </w:p>
  </w:endnote>
  <w:endnote w:type="continuationSeparator" w:id="0">
    <w:p w:rsidR="005A5A75" w:rsidRDefault="005A5A75" w:rsidP="00E574C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7A" w:rsidRPr="00071099" w:rsidRDefault="005A5A75" w:rsidP="00071099">
    <w:pPr>
      <w:jc w:val="right"/>
    </w:pPr>
    <w:r>
      <w:fldChar w:fldCharType="begin"/>
    </w:r>
    <w:r>
      <w:instrText xml:space="preserve"> FILENAME  \* MERGEFORMAT </w:instrText>
    </w:r>
    <w:r>
      <w:fldChar w:fldCharType="separate"/>
    </w:r>
    <w:r w:rsidR="003A2169">
      <w:rPr>
        <w:noProof/>
      </w:rPr>
      <w:t>Questions_For_BPC_Nov2013.docx</w:t>
    </w:r>
    <w:r>
      <w:rPr>
        <w:noProof/>
      </w:rPr>
      <w:fldChar w:fldCharType="end"/>
    </w:r>
    <w:r w:rsidR="00E574C3" w:rsidRPr="00D401B1">
      <w:t xml:space="preserve"> / Page </w:t>
    </w:r>
    <w:r w:rsidR="00E574C3" w:rsidRPr="00D401B1">
      <w:fldChar w:fldCharType="begin"/>
    </w:r>
    <w:r w:rsidR="00E574C3" w:rsidRPr="00D401B1">
      <w:instrText xml:space="preserve"> PAGE  \* MERGEFORMAT </w:instrText>
    </w:r>
    <w:r w:rsidR="00E574C3" w:rsidRPr="00D401B1">
      <w:fldChar w:fldCharType="separate"/>
    </w:r>
    <w:r w:rsidR="003A2169">
      <w:rPr>
        <w:noProof/>
      </w:rPr>
      <w:t>5</w:t>
    </w:r>
    <w:r w:rsidR="00E574C3" w:rsidRPr="00D401B1">
      <w:fldChar w:fldCharType="end"/>
    </w:r>
    <w:r w:rsidR="00E574C3" w:rsidRPr="00D401B1">
      <w:t>/</w:t>
    </w:r>
    <w:r>
      <w:fldChar w:fldCharType="begin"/>
    </w:r>
    <w:r>
      <w:instrText xml:space="preserve"> NUMPAGES  \* MERGEFORMAT </w:instrText>
    </w:r>
    <w:r>
      <w:fldChar w:fldCharType="separate"/>
    </w:r>
    <w:r w:rsidR="003A2169">
      <w:rPr>
        <w:noProof/>
      </w:rPr>
      <w:t>5</w:t>
    </w:r>
    <w:r>
      <w:rPr>
        <w:noProof/>
      </w:rPr>
      <w:fldChar w:fldCharType="end"/>
    </w:r>
  </w:p>
  <w:p w:rsidR="003A717A" w:rsidRDefault="005A5A75" w:rsidP="00F6136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2552" w:type="dxa"/>
      <w:tblLook w:val="04A0" w:firstRow="1" w:lastRow="0" w:firstColumn="1" w:lastColumn="0" w:noHBand="0" w:noVBand="1"/>
    </w:tblPr>
    <w:tblGrid>
      <w:gridCol w:w="3912"/>
      <w:gridCol w:w="2609"/>
      <w:gridCol w:w="3261"/>
    </w:tblGrid>
    <w:tr w:rsidR="00071099" w:rsidRPr="00925544" w:rsidTr="00071099">
      <w:tc>
        <w:tcPr>
          <w:tcW w:w="3912" w:type="dxa"/>
          <w:shd w:val="clear" w:color="auto" w:fill="auto"/>
        </w:tcPr>
        <w:p w:rsidR="00071099" w:rsidRPr="00925544" w:rsidRDefault="00E574C3" w:rsidP="00071099">
          <w:pPr>
            <w:spacing w:before="0"/>
            <w:rPr>
              <w:color w:val="1188CA"/>
              <w:sz w:val="17"/>
              <w:szCs w:val="17"/>
            </w:rPr>
          </w:pPr>
          <w:r w:rsidRPr="00925544">
            <w:rPr>
              <w:color w:val="1188CA"/>
              <w:sz w:val="17"/>
              <w:szCs w:val="17"/>
            </w:rPr>
            <w:t>Sunnikan Consulting</w:t>
          </w:r>
        </w:p>
        <w:p w:rsidR="00071099" w:rsidRPr="00925544" w:rsidRDefault="00E574C3" w:rsidP="00071099">
          <w:pPr>
            <w:spacing w:before="0"/>
            <w:rPr>
              <w:color w:val="1188CA"/>
              <w:sz w:val="17"/>
              <w:szCs w:val="17"/>
            </w:rPr>
          </w:pPr>
          <w:r w:rsidRPr="00925544">
            <w:rPr>
              <w:color w:val="1188CA"/>
              <w:sz w:val="17"/>
              <w:szCs w:val="17"/>
            </w:rPr>
            <w:t xml:space="preserve">8, parvis de </w:t>
          </w:r>
          <w:proofErr w:type="spellStart"/>
          <w:r w:rsidRPr="00925544">
            <w:rPr>
              <w:color w:val="1188CA"/>
              <w:sz w:val="17"/>
              <w:szCs w:val="17"/>
            </w:rPr>
            <w:t>Saint-Maur</w:t>
          </w:r>
          <w:proofErr w:type="spellEnd"/>
        </w:p>
        <w:p w:rsidR="00071099" w:rsidRPr="00925544" w:rsidRDefault="00E574C3" w:rsidP="00071099">
          <w:pPr>
            <w:spacing w:before="0"/>
            <w:rPr>
              <w:color w:val="1188CA"/>
              <w:sz w:val="17"/>
              <w:szCs w:val="17"/>
            </w:rPr>
          </w:pPr>
          <w:r w:rsidRPr="00925544">
            <w:rPr>
              <w:color w:val="1188CA"/>
              <w:sz w:val="17"/>
              <w:szCs w:val="17"/>
            </w:rPr>
            <w:t>94100 Saint Maur des Fossés, France</w:t>
          </w:r>
        </w:p>
      </w:tc>
      <w:tc>
        <w:tcPr>
          <w:tcW w:w="2609" w:type="dxa"/>
          <w:shd w:val="clear" w:color="auto" w:fill="auto"/>
        </w:tcPr>
        <w:p w:rsidR="00071099" w:rsidRPr="00925544" w:rsidRDefault="00E574C3" w:rsidP="00071099">
          <w:pPr>
            <w:spacing w:before="0"/>
            <w:rPr>
              <w:color w:val="1188CA"/>
              <w:sz w:val="17"/>
              <w:szCs w:val="17"/>
            </w:rPr>
          </w:pPr>
          <w:r w:rsidRPr="00925544">
            <w:rPr>
              <w:color w:val="1188CA"/>
              <w:sz w:val="17"/>
              <w:szCs w:val="17"/>
            </w:rPr>
            <w:t>+33 (0)1 55 97 13 13</w:t>
          </w:r>
        </w:p>
        <w:p w:rsidR="00071099" w:rsidRPr="00925544" w:rsidRDefault="00E574C3" w:rsidP="00071099">
          <w:pPr>
            <w:spacing w:before="0"/>
            <w:rPr>
              <w:color w:val="1188CA"/>
              <w:sz w:val="17"/>
              <w:szCs w:val="17"/>
            </w:rPr>
          </w:pPr>
          <w:r w:rsidRPr="00925544">
            <w:rPr>
              <w:color w:val="1188CA"/>
              <w:sz w:val="17"/>
              <w:szCs w:val="17"/>
            </w:rPr>
            <w:t>contact@sunnikan.com</w:t>
          </w:r>
        </w:p>
        <w:p w:rsidR="00071099" w:rsidRPr="00925544" w:rsidRDefault="00E574C3" w:rsidP="00071099">
          <w:pPr>
            <w:spacing w:before="0"/>
            <w:rPr>
              <w:color w:val="1188CA"/>
              <w:sz w:val="17"/>
              <w:szCs w:val="17"/>
            </w:rPr>
          </w:pPr>
          <w:r w:rsidRPr="00925544">
            <w:rPr>
              <w:color w:val="1188CA"/>
              <w:sz w:val="17"/>
              <w:szCs w:val="17"/>
            </w:rPr>
            <w:t>www.sunnikan.com</w:t>
          </w:r>
        </w:p>
      </w:tc>
      <w:tc>
        <w:tcPr>
          <w:tcW w:w="3261" w:type="dxa"/>
          <w:shd w:val="clear" w:color="auto" w:fill="auto"/>
        </w:tcPr>
        <w:p w:rsidR="00071099" w:rsidRPr="00925544" w:rsidRDefault="00E574C3" w:rsidP="00071099">
          <w:pPr>
            <w:spacing w:before="0"/>
            <w:rPr>
              <w:color w:val="1188CA"/>
              <w:sz w:val="17"/>
              <w:szCs w:val="17"/>
            </w:rPr>
          </w:pPr>
          <w:r w:rsidRPr="00925544">
            <w:rPr>
              <w:color w:val="1188CA"/>
              <w:sz w:val="17"/>
              <w:szCs w:val="17"/>
            </w:rPr>
            <w:t>Sunnikan Consulting</w:t>
          </w:r>
        </w:p>
        <w:p w:rsidR="00071099" w:rsidRPr="00925544" w:rsidRDefault="00100EFA" w:rsidP="00071099">
          <w:pPr>
            <w:spacing w:before="0"/>
            <w:rPr>
              <w:color w:val="1188CA"/>
              <w:sz w:val="17"/>
              <w:szCs w:val="17"/>
            </w:rPr>
          </w:pPr>
          <w:r>
            <w:rPr>
              <w:color w:val="1188CA"/>
              <w:sz w:val="17"/>
              <w:szCs w:val="17"/>
            </w:rPr>
            <w:t>SARL au capital de 10</w:t>
          </w:r>
          <w:r w:rsidR="00E574C3" w:rsidRPr="00925544">
            <w:rPr>
              <w:color w:val="1188CA"/>
              <w:sz w:val="17"/>
              <w:szCs w:val="17"/>
            </w:rPr>
            <w:t>0 000 €</w:t>
          </w:r>
        </w:p>
        <w:p w:rsidR="00071099" w:rsidRPr="00925544" w:rsidRDefault="00E574C3" w:rsidP="00071099">
          <w:pPr>
            <w:spacing w:before="0"/>
            <w:rPr>
              <w:color w:val="1188CA"/>
              <w:sz w:val="17"/>
              <w:szCs w:val="17"/>
            </w:rPr>
          </w:pPr>
          <w:r w:rsidRPr="00925544">
            <w:rPr>
              <w:color w:val="1188CA"/>
              <w:sz w:val="17"/>
              <w:szCs w:val="17"/>
            </w:rPr>
            <w:t>RCS Créteil B 409 032 240 NAF 7022 Z</w:t>
          </w:r>
        </w:p>
      </w:tc>
    </w:tr>
  </w:tbl>
  <w:p w:rsidR="003A717A" w:rsidRPr="00071099" w:rsidRDefault="00E574C3" w:rsidP="00071099">
    <w:pPr>
      <w:spacing w:before="60"/>
      <w:jc w:val="right"/>
      <w:rPr>
        <w:sz w:val="16"/>
      </w:rPr>
    </w:pPr>
    <w:r w:rsidRPr="00426A48">
      <w:rPr>
        <w:sz w:val="16"/>
      </w:rPr>
      <w:fldChar w:fldCharType="begin"/>
    </w:r>
    <w:r w:rsidRPr="00426A48">
      <w:rPr>
        <w:sz w:val="16"/>
      </w:rPr>
      <w:instrText xml:space="preserve"> FILENAME   \* MERGEFORMAT </w:instrText>
    </w:r>
    <w:r w:rsidRPr="00426A48">
      <w:rPr>
        <w:sz w:val="16"/>
      </w:rPr>
      <w:fldChar w:fldCharType="separate"/>
    </w:r>
    <w:r w:rsidR="003A2169">
      <w:rPr>
        <w:noProof/>
        <w:sz w:val="16"/>
      </w:rPr>
      <w:t>Questions_For_BPC_Nov2013.docx</w:t>
    </w:r>
    <w:r w:rsidRPr="00426A48">
      <w:rPr>
        <w:sz w:val="16"/>
      </w:rPr>
      <w:fldChar w:fldCharType="end"/>
    </w:r>
    <w:r w:rsidRPr="00426A48">
      <w:rPr>
        <w:sz w:val="16"/>
      </w:rPr>
      <w:t xml:space="preserve"> / Page </w:t>
    </w:r>
    <w:r w:rsidRPr="00426A48">
      <w:rPr>
        <w:sz w:val="16"/>
      </w:rPr>
      <w:fldChar w:fldCharType="begin"/>
    </w:r>
    <w:r w:rsidRPr="00426A48">
      <w:rPr>
        <w:sz w:val="16"/>
      </w:rPr>
      <w:instrText xml:space="preserve"> PAGE   \* MERGEFORMAT </w:instrText>
    </w:r>
    <w:r w:rsidRPr="00426A48">
      <w:rPr>
        <w:sz w:val="16"/>
      </w:rPr>
      <w:fldChar w:fldCharType="separate"/>
    </w:r>
    <w:r w:rsidR="003A2169">
      <w:rPr>
        <w:noProof/>
        <w:sz w:val="16"/>
      </w:rPr>
      <w:t>1</w:t>
    </w:r>
    <w:r w:rsidRPr="00426A48">
      <w:rPr>
        <w:sz w:val="16"/>
      </w:rPr>
      <w:fldChar w:fldCharType="end"/>
    </w:r>
    <w:r w:rsidRPr="00426A48">
      <w:rPr>
        <w:sz w:val="16"/>
      </w:rPr>
      <w:t>/</w:t>
    </w:r>
    <w:r w:rsidRPr="00426A48">
      <w:rPr>
        <w:sz w:val="16"/>
      </w:rPr>
      <w:fldChar w:fldCharType="begin"/>
    </w:r>
    <w:r w:rsidRPr="00426A48">
      <w:rPr>
        <w:sz w:val="16"/>
      </w:rPr>
      <w:instrText xml:space="preserve"> NUMPAGES   \* MERGEFORMAT </w:instrText>
    </w:r>
    <w:r w:rsidRPr="00426A48">
      <w:rPr>
        <w:sz w:val="16"/>
      </w:rPr>
      <w:fldChar w:fldCharType="separate"/>
    </w:r>
    <w:r w:rsidR="003A2169">
      <w:rPr>
        <w:noProof/>
        <w:sz w:val="16"/>
      </w:rPr>
      <w:t>5</w:t>
    </w:r>
    <w:r w:rsidRPr="00426A48">
      <w:rPr>
        <w:sz w:val="16"/>
      </w:rPr>
      <w:fldChar w:fldCharType="end"/>
    </w:r>
  </w:p>
  <w:p w:rsidR="003A717A" w:rsidRDefault="005A5A75" w:rsidP="00F6136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A75" w:rsidRDefault="005A5A75" w:rsidP="00E574C3">
      <w:pPr>
        <w:spacing w:before="0"/>
      </w:pPr>
      <w:r>
        <w:separator/>
      </w:r>
    </w:p>
  </w:footnote>
  <w:footnote w:type="continuationSeparator" w:id="0">
    <w:p w:rsidR="005A5A75" w:rsidRDefault="005A5A75" w:rsidP="00E574C3">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099" w:rsidRPr="00276A70" w:rsidRDefault="00E574C3" w:rsidP="00925544">
    <w:pPr>
      <w:spacing w:before="240"/>
      <w:ind w:left="-2268"/>
    </w:pPr>
    <w:r>
      <w:rPr>
        <w:noProof/>
        <w:lang w:eastAsia="fr-FR"/>
      </w:rPr>
      <w:drawing>
        <wp:inline distT="0" distB="0" distL="0" distR="0" wp14:anchorId="7E238DE3" wp14:editId="35072EC2">
          <wp:extent cx="1438910" cy="322580"/>
          <wp:effectExtent l="0" t="0" r="8890" b="127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32258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099" w:rsidRDefault="00E574C3" w:rsidP="00071099">
    <w:pPr>
      <w:spacing w:before="240"/>
      <w:ind w:left="-2268"/>
    </w:pPr>
    <w:r>
      <w:rPr>
        <w:noProof/>
        <w:lang w:eastAsia="fr-FR"/>
      </w:rPr>
      <w:drawing>
        <wp:inline distT="0" distB="0" distL="0" distR="0" wp14:anchorId="304A9062" wp14:editId="3791C9C8">
          <wp:extent cx="1438910" cy="322580"/>
          <wp:effectExtent l="0" t="0" r="8890" b="127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32258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CC4A8C2"/>
    <w:lvl w:ilvl="0">
      <w:start w:val="1"/>
      <w:numFmt w:val="decimal"/>
      <w:lvlText w:val="%1."/>
      <w:lvlJc w:val="left"/>
      <w:pPr>
        <w:tabs>
          <w:tab w:val="num" w:pos="1492"/>
        </w:tabs>
        <w:ind w:left="1492" w:hanging="360"/>
      </w:pPr>
    </w:lvl>
  </w:abstractNum>
  <w:abstractNum w:abstractNumId="1">
    <w:nsid w:val="FFFFFF7D"/>
    <w:multiLevelType w:val="singleLevel"/>
    <w:tmpl w:val="56EE392E"/>
    <w:lvl w:ilvl="0">
      <w:start w:val="1"/>
      <w:numFmt w:val="decimal"/>
      <w:lvlText w:val="%1."/>
      <w:lvlJc w:val="left"/>
      <w:pPr>
        <w:tabs>
          <w:tab w:val="num" w:pos="1209"/>
        </w:tabs>
        <w:ind w:left="1209" w:hanging="360"/>
      </w:pPr>
    </w:lvl>
  </w:abstractNum>
  <w:abstractNum w:abstractNumId="2">
    <w:nsid w:val="FFFFFF7E"/>
    <w:multiLevelType w:val="singleLevel"/>
    <w:tmpl w:val="A280A4C8"/>
    <w:lvl w:ilvl="0">
      <w:start w:val="1"/>
      <w:numFmt w:val="decimal"/>
      <w:lvlText w:val="%1."/>
      <w:lvlJc w:val="left"/>
      <w:pPr>
        <w:tabs>
          <w:tab w:val="num" w:pos="926"/>
        </w:tabs>
        <w:ind w:left="926" w:hanging="360"/>
      </w:pPr>
    </w:lvl>
  </w:abstractNum>
  <w:abstractNum w:abstractNumId="3">
    <w:nsid w:val="FFFFFF7F"/>
    <w:multiLevelType w:val="singleLevel"/>
    <w:tmpl w:val="3C608E0E"/>
    <w:lvl w:ilvl="0">
      <w:start w:val="1"/>
      <w:numFmt w:val="decimal"/>
      <w:lvlText w:val="%1."/>
      <w:lvlJc w:val="left"/>
      <w:pPr>
        <w:tabs>
          <w:tab w:val="num" w:pos="643"/>
        </w:tabs>
        <w:ind w:left="643" w:hanging="360"/>
      </w:pPr>
    </w:lvl>
  </w:abstractNum>
  <w:abstractNum w:abstractNumId="4">
    <w:nsid w:val="FFFFFF80"/>
    <w:multiLevelType w:val="singleLevel"/>
    <w:tmpl w:val="F0A815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A1685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B46F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5F4EB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28569A"/>
    <w:lvl w:ilvl="0">
      <w:start w:val="1"/>
      <w:numFmt w:val="decimal"/>
      <w:lvlText w:val="%1."/>
      <w:lvlJc w:val="left"/>
      <w:pPr>
        <w:tabs>
          <w:tab w:val="num" w:pos="360"/>
        </w:tabs>
        <w:ind w:left="360" w:hanging="360"/>
      </w:pPr>
    </w:lvl>
  </w:abstractNum>
  <w:abstractNum w:abstractNumId="9">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3CF26548"/>
    <w:lvl w:ilvl="0">
      <w:numFmt w:val="decimal"/>
      <w:pStyle w:val="B2"/>
      <w:lvlText w:val="*"/>
      <w:lvlJc w:val="left"/>
    </w:lvl>
  </w:abstractNum>
  <w:abstractNum w:abstractNumId="11">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9"/>
  </w:num>
  <w:num w:numId="12">
    <w:abstractNumId w:val="12"/>
  </w:num>
  <w:num w:numId="13">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14">
    <w:abstractNumId w:val="11"/>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E0E"/>
    <w:rsid w:val="00051B63"/>
    <w:rsid w:val="00100EFA"/>
    <w:rsid w:val="00164A98"/>
    <w:rsid w:val="00192203"/>
    <w:rsid w:val="001A49D3"/>
    <w:rsid w:val="00375DA2"/>
    <w:rsid w:val="003A2169"/>
    <w:rsid w:val="003C6172"/>
    <w:rsid w:val="00463428"/>
    <w:rsid w:val="0050315B"/>
    <w:rsid w:val="005A5A75"/>
    <w:rsid w:val="006867AE"/>
    <w:rsid w:val="00703383"/>
    <w:rsid w:val="0074577A"/>
    <w:rsid w:val="00945117"/>
    <w:rsid w:val="00990B33"/>
    <w:rsid w:val="009C0D3B"/>
    <w:rsid w:val="00AF19AD"/>
    <w:rsid w:val="00B141A3"/>
    <w:rsid w:val="00BD1E0E"/>
    <w:rsid w:val="00C87232"/>
    <w:rsid w:val="00D108C2"/>
    <w:rsid w:val="00D477E1"/>
    <w:rsid w:val="00DA683E"/>
    <w:rsid w:val="00DE37C6"/>
    <w:rsid w:val="00E36BBE"/>
    <w:rsid w:val="00E574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BB2F08-2D37-43E8-8E30-AEB97C871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B63"/>
    <w:pPr>
      <w:spacing w:before="120"/>
      <w:jc w:val="both"/>
    </w:pPr>
    <w:rPr>
      <w:rFonts w:asciiTheme="minorHAnsi" w:hAnsiTheme="minorHAnsi"/>
      <w:szCs w:val="24"/>
    </w:rPr>
  </w:style>
  <w:style w:type="paragraph" w:styleId="Titre1">
    <w:name w:val="heading 1"/>
    <w:basedOn w:val="Normal"/>
    <w:next w:val="Normal"/>
    <w:link w:val="Titre1Car"/>
    <w:qFormat/>
    <w:rsid w:val="0074577A"/>
    <w:pPr>
      <w:keepNext/>
      <w:numPr>
        <w:numId w:val="23"/>
      </w:numPr>
      <w:tabs>
        <w:tab w:val="left" w:pos="567"/>
      </w:tabs>
      <w:spacing w:before="480" w:after="240"/>
      <w:outlineLvl w:val="0"/>
    </w:pPr>
    <w:rPr>
      <w:rFonts w:ascii="Franklin Gothic Demi" w:hAnsi="Franklin Gothic Demi" w:cs="Arial"/>
      <w:bCs/>
      <w:kern w:val="32"/>
      <w:szCs w:val="32"/>
      <w:lang w:eastAsia="fr-FR"/>
    </w:rPr>
  </w:style>
  <w:style w:type="paragraph" w:styleId="Titre2">
    <w:name w:val="heading 2"/>
    <w:basedOn w:val="Titre1"/>
    <w:next w:val="Normal"/>
    <w:link w:val="Titre2Car"/>
    <w:qFormat/>
    <w:rsid w:val="0074577A"/>
    <w:pPr>
      <w:numPr>
        <w:ilvl w:val="1"/>
      </w:numPr>
      <w:tabs>
        <w:tab w:val="clear" w:pos="567"/>
        <w:tab w:val="left" w:pos="1134"/>
      </w:tabs>
      <w:spacing w:before="360" w:after="120"/>
      <w:outlineLvl w:val="1"/>
    </w:pPr>
    <w:rPr>
      <w:bCs w:val="0"/>
      <w:iCs/>
      <w:sz w:val="18"/>
      <w:szCs w:val="28"/>
    </w:rPr>
  </w:style>
  <w:style w:type="paragraph" w:styleId="Titre3">
    <w:name w:val="heading 3"/>
    <w:basedOn w:val="Titre2"/>
    <w:next w:val="Normal"/>
    <w:link w:val="Titre3Car"/>
    <w:qFormat/>
    <w:rsid w:val="0074577A"/>
    <w:pPr>
      <w:numPr>
        <w:ilvl w:val="2"/>
      </w:numPr>
      <w:spacing w:before="240" w:after="60"/>
      <w:outlineLvl w:val="2"/>
    </w:pPr>
    <w:rPr>
      <w:iCs w:val="0"/>
      <w:szCs w:val="20"/>
    </w:rPr>
  </w:style>
  <w:style w:type="paragraph" w:styleId="Titre4">
    <w:name w:val="heading 4"/>
    <w:basedOn w:val="Normal"/>
    <w:next w:val="Normal"/>
    <w:link w:val="Titre4Car"/>
    <w:rsid w:val="0074577A"/>
    <w:pPr>
      <w:keepNext/>
      <w:numPr>
        <w:ilvl w:val="3"/>
        <w:numId w:val="23"/>
      </w:numPr>
      <w:outlineLvl w:val="3"/>
    </w:pPr>
    <w:rPr>
      <w:rFonts w:ascii="ITC Franklin Gothic Book" w:hAnsi="ITC Franklin Gothic Book"/>
      <w:b/>
      <w:bCs/>
      <w:sz w:val="28"/>
      <w:szCs w:val="28"/>
    </w:rPr>
  </w:style>
  <w:style w:type="paragraph" w:styleId="Titre5">
    <w:name w:val="heading 5"/>
    <w:basedOn w:val="Normal"/>
    <w:next w:val="Normal"/>
    <w:link w:val="Titre5Car"/>
    <w:rsid w:val="0074577A"/>
    <w:pPr>
      <w:numPr>
        <w:ilvl w:val="4"/>
        <w:numId w:val="2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74577A"/>
    <w:pPr>
      <w:numPr>
        <w:ilvl w:val="5"/>
        <w:numId w:val="23"/>
      </w:numPr>
      <w:outlineLvl w:val="5"/>
    </w:pPr>
    <w:rPr>
      <w:rFonts w:ascii="ITC Franklin Gothic Book" w:hAnsi="ITC Franklin Gothic Book"/>
      <w:b/>
      <w:bCs/>
      <w:sz w:val="22"/>
      <w:szCs w:val="22"/>
    </w:rPr>
  </w:style>
  <w:style w:type="paragraph" w:styleId="Titre7">
    <w:name w:val="heading 7"/>
    <w:basedOn w:val="Normal"/>
    <w:next w:val="Normal"/>
    <w:link w:val="Titre7Car"/>
    <w:rsid w:val="0074577A"/>
    <w:pPr>
      <w:numPr>
        <w:ilvl w:val="6"/>
        <w:numId w:val="23"/>
      </w:numPr>
      <w:outlineLvl w:val="6"/>
    </w:pPr>
    <w:rPr>
      <w:rFonts w:ascii="ITC Franklin Gothic Book" w:hAnsi="ITC Franklin Gothic Book"/>
    </w:rPr>
  </w:style>
  <w:style w:type="paragraph" w:styleId="Titre8">
    <w:name w:val="heading 8"/>
    <w:basedOn w:val="Normal"/>
    <w:next w:val="Normal"/>
    <w:link w:val="Titre8Car"/>
    <w:rsid w:val="0074577A"/>
    <w:pPr>
      <w:numPr>
        <w:ilvl w:val="7"/>
        <w:numId w:val="23"/>
      </w:numPr>
      <w:outlineLvl w:val="7"/>
    </w:pPr>
    <w:rPr>
      <w:rFonts w:ascii="ITC Franklin Gothic Book" w:hAnsi="ITC Franklin Gothic Book"/>
      <w:i/>
      <w:iCs/>
    </w:rPr>
  </w:style>
  <w:style w:type="paragraph" w:styleId="Titre9">
    <w:name w:val="heading 9"/>
    <w:basedOn w:val="Normal"/>
    <w:next w:val="Normal"/>
    <w:link w:val="Titre9Car"/>
    <w:rsid w:val="0074577A"/>
    <w:pPr>
      <w:numPr>
        <w:ilvl w:val="8"/>
        <w:numId w:val="2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9"/>
    <w:semiHidden/>
    <w:unhideWhenUsed/>
    <w:rsid w:val="0074577A"/>
    <w:pPr>
      <w:numPr>
        <w:numId w:val="11"/>
      </w:numPr>
      <w:contextualSpacing/>
    </w:pPr>
  </w:style>
  <w:style w:type="paragraph" w:customStyle="1" w:styleId="B1">
    <w:name w:val="B1"/>
    <w:basedOn w:val="Listepuces"/>
    <w:link w:val="B1Car"/>
    <w:qFormat/>
    <w:rsid w:val="0074577A"/>
    <w:pPr>
      <w:numPr>
        <w:numId w:val="12"/>
      </w:numPr>
      <w:tabs>
        <w:tab w:val="left" w:pos="284"/>
      </w:tabs>
      <w:spacing w:before="60" w:after="60"/>
      <w:ind w:left="568" w:hanging="284"/>
    </w:pPr>
  </w:style>
  <w:style w:type="character" w:customStyle="1" w:styleId="B1Car">
    <w:name w:val="B1 Car"/>
    <w:link w:val="B1"/>
    <w:rsid w:val="0074577A"/>
    <w:rPr>
      <w:rFonts w:asciiTheme="minorHAnsi" w:eastAsia="Times New Roman" w:hAnsiTheme="minorHAnsi"/>
      <w:szCs w:val="24"/>
    </w:rPr>
  </w:style>
  <w:style w:type="paragraph" w:customStyle="1" w:styleId="B2">
    <w:name w:val="B2"/>
    <w:basedOn w:val="B1"/>
    <w:link w:val="B2Car"/>
    <w:qFormat/>
    <w:rsid w:val="0074577A"/>
    <w:pPr>
      <w:numPr>
        <w:numId w:val="13"/>
      </w:numPr>
      <w:spacing w:before="0" w:after="0"/>
      <w:ind w:left="851" w:hanging="284"/>
    </w:pPr>
  </w:style>
  <w:style w:type="character" w:customStyle="1" w:styleId="B2Car">
    <w:name w:val="B2 Car"/>
    <w:basedOn w:val="B1Car"/>
    <w:link w:val="B2"/>
    <w:rsid w:val="0074577A"/>
    <w:rPr>
      <w:rFonts w:asciiTheme="minorHAnsi" w:eastAsia="Times New Roman" w:hAnsiTheme="minorHAnsi"/>
      <w:szCs w:val="24"/>
    </w:rPr>
  </w:style>
  <w:style w:type="paragraph" w:customStyle="1" w:styleId="B3">
    <w:name w:val="B3"/>
    <w:basedOn w:val="B2"/>
    <w:link w:val="B3Car"/>
    <w:qFormat/>
    <w:rsid w:val="0074577A"/>
    <w:pPr>
      <w:numPr>
        <w:numId w:val="14"/>
      </w:numPr>
      <w:adjustRightInd w:val="0"/>
      <w:ind w:left="1135" w:hanging="284"/>
      <w:textAlignment w:val="baseline"/>
    </w:pPr>
  </w:style>
  <w:style w:type="character" w:customStyle="1" w:styleId="B3Car">
    <w:name w:val="B3 Car"/>
    <w:basedOn w:val="B2Car"/>
    <w:link w:val="B3"/>
    <w:rsid w:val="0074577A"/>
    <w:rPr>
      <w:rFonts w:asciiTheme="minorHAnsi" w:eastAsia="Times New Roman" w:hAnsiTheme="minorHAnsi"/>
      <w:szCs w:val="24"/>
    </w:rPr>
  </w:style>
  <w:style w:type="paragraph" w:styleId="Citation">
    <w:name w:val="Quote"/>
    <w:basedOn w:val="Normal"/>
    <w:next w:val="Normal"/>
    <w:link w:val="CitationCar"/>
    <w:uiPriority w:val="29"/>
    <w:rsid w:val="0074577A"/>
    <w:rPr>
      <w:i/>
      <w:iCs/>
      <w:color w:val="000000" w:themeColor="text1"/>
    </w:rPr>
  </w:style>
  <w:style w:type="character" w:customStyle="1" w:styleId="CitationCar">
    <w:name w:val="Citation Car"/>
    <w:basedOn w:val="Policepardfaut"/>
    <w:link w:val="Citation"/>
    <w:uiPriority w:val="29"/>
    <w:rsid w:val="0074577A"/>
    <w:rPr>
      <w:rFonts w:asciiTheme="minorHAnsi" w:eastAsia="Times New Roman" w:hAnsiTheme="minorHAnsi"/>
      <w:i/>
      <w:iCs/>
      <w:color w:val="000000" w:themeColor="text1"/>
      <w:szCs w:val="24"/>
    </w:rPr>
  </w:style>
  <w:style w:type="paragraph" w:styleId="Commentaire">
    <w:name w:val="annotation text"/>
    <w:basedOn w:val="Normal"/>
    <w:link w:val="CommentaireCar"/>
    <w:uiPriority w:val="99"/>
    <w:semiHidden/>
    <w:unhideWhenUsed/>
    <w:rsid w:val="0074577A"/>
    <w:rPr>
      <w:szCs w:val="20"/>
    </w:rPr>
  </w:style>
  <w:style w:type="character" w:customStyle="1" w:styleId="CommentaireCar">
    <w:name w:val="Commentaire Car"/>
    <w:basedOn w:val="Policepardfaut"/>
    <w:link w:val="Commentaire"/>
    <w:uiPriority w:val="99"/>
    <w:semiHidden/>
    <w:rsid w:val="0074577A"/>
    <w:rPr>
      <w:rFonts w:asciiTheme="minorHAnsi" w:eastAsia="Times New Roman" w:hAnsiTheme="minorHAnsi"/>
    </w:rPr>
  </w:style>
  <w:style w:type="paragraph" w:styleId="Corpsdetexte">
    <w:name w:val="Body Text"/>
    <w:basedOn w:val="Normal"/>
    <w:link w:val="CorpsdetexteCar"/>
    <w:uiPriority w:val="99"/>
    <w:unhideWhenUsed/>
    <w:rsid w:val="0074577A"/>
  </w:style>
  <w:style w:type="character" w:customStyle="1" w:styleId="CorpsdetexteCar">
    <w:name w:val="Corps de texte Car"/>
    <w:basedOn w:val="Policepardfaut"/>
    <w:link w:val="Corpsdetexte"/>
    <w:uiPriority w:val="99"/>
    <w:rsid w:val="0074577A"/>
    <w:rPr>
      <w:rFonts w:asciiTheme="minorHAnsi" w:eastAsia="Times New Roman" w:hAnsiTheme="minorHAnsi"/>
      <w:szCs w:val="24"/>
    </w:rPr>
  </w:style>
  <w:style w:type="paragraph" w:styleId="En-tte">
    <w:name w:val="header"/>
    <w:basedOn w:val="Normal"/>
    <w:link w:val="En-tteCar"/>
    <w:uiPriority w:val="99"/>
    <w:unhideWhenUsed/>
    <w:rsid w:val="0074577A"/>
    <w:pPr>
      <w:tabs>
        <w:tab w:val="center" w:pos="4536"/>
        <w:tab w:val="right" w:pos="9072"/>
      </w:tabs>
      <w:spacing w:before="0"/>
      <w:ind w:left="-1701"/>
    </w:pPr>
  </w:style>
  <w:style w:type="character" w:customStyle="1" w:styleId="En-tteCar">
    <w:name w:val="En-tête Car"/>
    <w:basedOn w:val="Policepardfaut"/>
    <w:link w:val="En-tte"/>
    <w:uiPriority w:val="99"/>
    <w:rsid w:val="0074577A"/>
    <w:rPr>
      <w:rFonts w:asciiTheme="minorHAnsi" w:eastAsia="Times New Roman" w:hAnsiTheme="minorHAnsi"/>
      <w:szCs w:val="24"/>
    </w:rPr>
  </w:style>
  <w:style w:type="table" w:styleId="Grilledutableau">
    <w:name w:val="Table Grid"/>
    <w:basedOn w:val="TableauNormal"/>
    <w:uiPriority w:val="59"/>
    <w:rsid w:val="0074577A"/>
    <w:rPr>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basedOn w:val="Policepardfaut"/>
    <w:uiPriority w:val="99"/>
    <w:semiHidden/>
    <w:unhideWhenUsed/>
    <w:rsid w:val="0074577A"/>
    <w:rPr>
      <w:sz w:val="16"/>
      <w:szCs w:val="16"/>
    </w:rPr>
  </w:style>
  <w:style w:type="paragraph" w:styleId="Objetducommentaire">
    <w:name w:val="annotation subject"/>
    <w:basedOn w:val="Commentaire"/>
    <w:next w:val="Commentaire"/>
    <w:link w:val="ObjetducommentaireCar"/>
    <w:uiPriority w:val="99"/>
    <w:semiHidden/>
    <w:unhideWhenUsed/>
    <w:rsid w:val="0074577A"/>
    <w:rPr>
      <w:b/>
      <w:bCs/>
    </w:rPr>
  </w:style>
  <w:style w:type="character" w:customStyle="1" w:styleId="ObjetducommentaireCar">
    <w:name w:val="Objet du commentaire Car"/>
    <w:basedOn w:val="CommentaireCar"/>
    <w:link w:val="Objetducommentaire"/>
    <w:uiPriority w:val="99"/>
    <w:semiHidden/>
    <w:rsid w:val="0074577A"/>
    <w:rPr>
      <w:rFonts w:asciiTheme="minorHAnsi" w:eastAsia="Times New Roman" w:hAnsiTheme="minorHAnsi"/>
      <w:b/>
      <w:bCs/>
    </w:rPr>
  </w:style>
  <w:style w:type="paragraph" w:styleId="Pieddepage">
    <w:name w:val="footer"/>
    <w:basedOn w:val="Normal"/>
    <w:link w:val="PieddepageCar"/>
    <w:unhideWhenUsed/>
    <w:rsid w:val="0074577A"/>
    <w:pPr>
      <w:spacing w:before="0"/>
      <w:ind w:left="-1701"/>
      <w:jc w:val="right"/>
    </w:pPr>
    <w:rPr>
      <w:noProof/>
      <w:sz w:val="16"/>
      <w:lang w:eastAsia="fr-FR"/>
    </w:rPr>
  </w:style>
  <w:style w:type="character" w:customStyle="1" w:styleId="PieddepageCar">
    <w:name w:val="Pied de page Car"/>
    <w:basedOn w:val="Policepardfaut"/>
    <w:link w:val="Pieddepage"/>
    <w:rsid w:val="0074577A"/>
    <w:rPr>
      <w:rFonts w:asciiTheme="minorHAnsi" w:eastAsia="Times New Roman" w:hAnsiTheme="minorHAnsi"/>
      <w:noProof/>
      <w:sz w:val="16"/>
      <w:szCs w:val="24"/>
      <w:lang w:eastAsia="fr-FR"/>
    </w:rPr>
  </w:style>
  <w:style w:type="paragraph" w:customStyle="1" w:styleId="Pieddepremirepage">
    <w:name w:val="Pied de première page"/>
    <w:basedOn w:val="Pieddepage"/>
    <w:link w:val="PieddepremirepageCar"/>
    <w:qFormat/>
    <w:rsid w:val="0074577A"/>
    <w:pPr>
      <w:jc w:val="left"/>
    </w:pPr>
    <w:rPr>
      <w:color w:val="1188CA"/>
      <w:szCs w:val="17"/>
    </w:rPr>
  </w:style>
  <w:style w:type="character" w:customStyle="1" w:styleId="PieddepremirepageCar">
    <w:name w:val="Pied de première page Car"/>
    <w:basedOn w:val="PieddepageCar"/>
    <w:link w:val="Pieddepremirepage"/>
    <w:rsid w:val="0074577A"/>
    <w:rPr>
      <w:rFonts w:asciiTheme="minorHAnsi" w:eastAsia="Times New Roman" w:hAnsiTheme="minorHAnsi"/>
      <w:noProof/>
      <w:color w:val="1188CA"/>
      <w:sz w:val="16"/>
      <w:szCs w:val="17"/>
      <w:lang w:eastAsia="fr-FR"/>
    </w:rPr>
  </w:style>
  <w:style w:type="paragraph" w:customStyle="1" w:styleId="Pieddepremirepage-tableau">
    <w:name w:val="Pied de première page - tableau"/>
    <w:basedOn w:val="Normal"/>
    <w:qFormat/>
    <w:rsid w:val="0074577A"/>
    <w:pPr>
      <w:spacing w:before="0"/>
      <w:ind w:left="57"/>
    </w:pPr>
    <w:rPr>
      <w:color w:val="1188CA"/>
      <w:sz w:val="17"/>
      <w:szCs w:val="17"/>
    </w:rPr>
  </w:style>
  <w:style w:type="paragraph" w:styleId="Sous-titre">
    <w:name w:val="Subtitle"/>
    <w:basedOn w:val="Normal"/>
    <w:next w:val="Normal"/>
    <w:link w:val="Sous-titreCar"/>
    <w:uiPriority w:val="11"/>
    <w:qFormat/>
    <w:rsid w:val="0074577A"/>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74577A"/>
    <w:rPr>
      <w:rFonts w:ascii="Franklin Gothic Demi" w:eastAsia="Times New Roman" w:hAnsi="Franklin Gothic Demi"/>
      <w:sz w:val="22"/>
      <w:szCs w:val="24"/>
    </w:rPr>
  </w:style>
  <w:style w:type="paragraph" w:styleId="Textedebulles">
    <w:name w:val="Balloon Text"/>
    <w:basedOn w:val="Normal"/>
    <w:link w:val="TextedebullesCar"/>
    <w:uiPriority w:val="99"/>
    <w:semiHidden/>
    <w:unhideWhenUsed/>
    <w:rsid w:val="0074577A"/>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74577A"/>
    <w:rPr>
      <w:rFonts w:ascii="Tahoma" w:eastAsia="Times New Roman" w:hAnsi="Tahoma" w:cs="Tahoma"/>
      <w:sz w:val="16"/>
      <w:szCs w:val="16"/>
    </w:rPr>
  </w:style>
  <w:style w:type="paragraph" w:styleId="Titre">
    <w:name w:val="Title"/>
    <w:basedOn w:val="Normal"/>
    <w:next w:val="Normal"/>
    <w:link w:val="TitreCar"/>
    <w:qFormat/>
    <w:rsid w:val="0074577A"/>
    <w:pPr>
      <w:spacing w:before="240" w:after="60"/>
      <w:jc w:val="center"/>
    </w:pPr>
    <w:rPr>
      <w:rFonts w:ascii="Franklin Gothic Demi" w:hAnsi="Franklin Gothic Demi"/>
      <w:kern w:val="28"/>
      <w:sz w:val="32"/>
    </w:rPr>
  </w:style>
  <w:style w:type="character" w:customStyle="1" w:styleId="TitreCar">
    <w:name w:val="Titre Car"/>
    <w:basedOn w:val="Policepardfaut"/>
    <w:link w:val="Titre"/>
    <w:rsid w:val="0074577A"/>
    <w:rPr>
      <w:rFonts w:ascii="Franklin Gothic Demi" w:eastAsia="Times New Roman" w:hAnsi="Franklin Gothic Demi"/>
      <w:kern w:val="28"/>
      <w:sz w:val="32"/>
      <w:szCs w:val="24"/>
    </w:rPr>
  </w:style>
  <w:style w:type="character" w:customStyle="1" w:styleId="Titre1Car">
    <w:name w:val="Titre 1 Car"/>
    <w:basedOn w:val="Policepardfaut"/>
    <w:link w:val="Titre1"/>
    <w:rsid w:val="0074577A"/>
    <w:rPr>
      <w:rFonts w:ascii="Franklin Gothic Demi" w:eastAsia="Times New Roman" w:hAnsi="Franklin Gothic Demi" w:cs="Arial"/>
      <w:bCs/>
      <w:kern w:val="32"/>
      <w:szCs w:val="32"/>
      <w:lang w:eastAsia="fr-FR"/>
    </w:rPr>
  </w:style>
  <w:style w:type="character" w:customStyle="1" w:styleId="Titre2Car">
    <w:name w:val="Titre 2 Car"/>
    <w:basedOn w:val="Policepardfaut"/>
    <w:link w:val="Titre2"/>
    <w:rsid w:val="0074577A"/>
    <w:rPr>
      <w:rFonts w:ascii="Franklin Gothic Demi" w:eastAsia="Times New Roman" w:hAnsi="Franklin Gothic Demi" w:cs="Arial"/>
      <w:iCs/>
      <w:kern w:val="32"/>
      <w:sz w:val="18"/>
      <w:szCs w:val="28"/>
      <w:lang w:eastAsia="fr-FR"/>
    </w:rPr>
  </w:style>
  <w:style w:type="character" w:customStyle="1" w:styleId="Titre3Car">
    <w:name w:val="Titre 3 Car"/>
    <w:basedOn w:val="Policepardfaut"/>
    <w:link w:val="Titre3"/>
    <w:rsid w:val="0074577A"/>
    <w:rPr>
      <w:rFonts w:ascii="Franklin Gothic Demi" w:eastAsia="Times New Roman" w:hAnsi="Franklin Gothic Demi" w:cs="Arial"/>
      <w:kern w:val="32"/>
      <w:sz w:val="18"/>
      <w:lang w:eastAsia="fr-FR"/>
    </w:rPr>
  </w:style>
  <w:style w:type="character" w:customStyle="1" w:styleId="Titre4Car">
    <w:name w:val="Titre 4 Car"/>
    <w:basedOn w:val="Policepardfaut"/>
    <w:link w:val="Titre4"/>
    <w:rsid w:val="0074577A"/>
    <w:rPr>
      <w:rFonts w:ascii="ITC Franklin Gothic Book" w:eastAsia="Times New Roman" w:hAnsi="ITC Franklin Gothic Book"/>
      <w:b/>
      <w:bCs/>
      <w:sz w:val="28"/>
      <w:szCs w:val="28"/>
    </w:rPr>
  </w:style>
  <w:style w:type="character" w:customStyle="1" w:styleId="Titre5Car">
    <w:name w:val="Titre 5 Car"/>
    <w:basedOn w:val="Policepardfaut"/>
    <w:link w:val="Titre5"/>
    <w:rsid w:val="0074577A"/>
    <w:rPr>
      <w:rFonts w:ascii="ITC Franklin Gothic Book" w:eastAsia="Times New Roman" w:hAnsi="ITC Franklin Gothic Book"/>
      <w:b/>
      <w:bCs/>
      <w:i/>
      <w:iCs/>
      <w:sz w:val="26"/>
      <w:szCs w:val="26"/>
    </w:rPr>
  </w:style>
  <w:style w:type="character" w:customStyle="1" w:styleId="Titre6Car">
    <w:name w:val="Titre 6 Car"/>
    <w:basedOn w:val="Policepardfaut"/>
    <w:link w:val="Titre6"/>
    <w:rsid w:val="0074577A"/>
    <w:rPr>
      <w:rFonts w:ascii="ITC Franklin Gothic Book" w:eastAsia="Times New Roman" w:hAnsi="ITC Franklin Gothic Book"/>
      <w:b/>
      <w:bCs/>
      <w:sz w:val="22"/>
      <w:szCs w:val="22"/>
    </w:rPr>
  </w:style>
  <w:style w:type="character" w:customStyle="1" w:styleId="Titre7Car">
    <w:name w:val="Titre 7 Car"/>
    <w:basedOn w:val="Policepardfaut"/>
    <w:link w:val="Titre7"/>
    <w:rsid w:val="0074577A"/>
    <w:rPr>
      <w:rFonts w:ascii="ITC Franklin Gothic Book" w:eastAsia="Times New Roman" w:hAnsi="ITC Franklin Gothic Book"/>
      <w:szCs w:val="24"/>
    </w:rPr>
  </w:style>
  <w:style w:type="character" w:customStyle="1" w:styleId="Titre8Car">
    <w:name w:val="Titre 8 Car"/>
    <w:basedOn w:val="Policepardfaut"/>
    <w:link w:val="Titre8"/>
    <w:rsid w:val="0074577A"/>
    <w:rPr>
      <w:rFonts w:ascii="ITC Franklin Gothic Book" w:eastAsia="Times New Roman" w:hAnsi="ITC Franklin Gothic Book"/>
      <w:i/>
      <w:iCs/>
      <w:szCs w:val="24"/>
    </w:rPr>
  </w:style>
  <w:style w:type="character" w:customStyle="1" w:styleId="Titre9Car">
    <w:name w:val="Titre 9 Car"/>
    <w:basedOn w:val="Policepardfaut"/>
    <w:link w:val="Titre9"/>
    <w:rsid w:val="0074577A"/>
    <w:rPr>
      <w:rFonts w:ascii="Arial" w:eastAsia="Times New Roman" w:hAnsi="Arial" w:cs="Arial"/>
      <w:sz w:val="22"/>
      <w:szCs w:val="22"/>
    </w:rPr>
  </w:style>
  <w:style w:type="paragraph" w:styleId="TM1">
    <w:name w:val="toc 1"/>
    <w:basedOn w:val="Normal"/>
    <w:next w:val="Normal"/>
    <w:autoRedefine/>
    <w:uiPriority w:val="39"/>
    <w:rsid w:val="0074577A"/>
    <w:pPr>
      <w:tabs>
        <w:tab w:val="left" w:pos="360"/>
        <w:tab w:val="right" w:leader="dot" w:pos="7927"/>
      </w:tabs>
    </w:pPr>
    <w:rPr>
      <w:noProof/>
    </w:rPr>
  </w:style>
  <w:style w:type="paragraph" w:styleId="TM2">
    <w:name w:val="toc 2"/>
    <w:basedOn w:val="Normal"/>
    <w:next w:val="Normal"/>
    <w:uiPriority w:val="39"/>
    <w:rsid w:val="0074577A"/>
    <w:pPr>
      <w:tabs>
        <w:tab w:val="left" w:pos="720"/>
        <w:tab w:val="right" w:leader="dot" w:pos="7927"/>
      </w:tabs>
      <w:ind w:left="180"/>
    </w:pPr>
    <w:rPr>
      <w:i/>
      <w:iCs/>
      <w:noProof/>
      <w:szCs w:val="20"/>
    </w:rPr>
  </w:style>
  <w:style w:type="paragraph" w:styleId="TM3">
    <w:name w:val="toc 3"/>
    <w:basedOn w:val="Normal"/>
    <w:next w:val="Normal"/>
    <w:uiPriority w:val="39"/>
    <w:rsid w:val="0074577A"/>
    <w:pPr>
      <w:tabs>
        <w:tab w:val="left" w:pos="1080"/>
        <w:tab w:val="right" w:leader="dot" w:pos="7927"/>
      </w:tabs>
      <w:spacing w:before="0"/>
      <w:ind w:left="360"/>
    </w:pPr>
    <w:rPr>
      <w:i/>
      <w:noProof/>
      <w:szCs w:val="20"/>
    </w:rPr>
  </w:style>
  <w:style w:type="paragraph" w:styleId="TM4">
    <w:name w:val="toc 4"/>
    <w:basedOn w:val="Normal"/>
    <w:next w:val="Normal"/>
    <w:semiHidden/>
    <w:rsid w:val="0074577A"/>
    <w:pPr>
      <w:spacing w:before="0"/>
      <w:ind w:left="540"/>
      <w:jc w:val="left"/>
    </w:pPr>
    <w:rPr>
      <w:rFonts w:ascii="Times New Roman" w:hAnsi="Times New Roman"/>
      <w:szCs w:val="20"/>
    </w:rPr>
  </w:style>
  <w:style w:type="paragraph" w:styleId="TM5">
    <w:name w:val="toc 5"/>
    <w:basedOn w:val="Normal"/>
    <w:next w:val="Normal"/>
    <w:semiHidden/>
    <w:rsid w:val="0074577A"/>
    <w:pPr>
      <w:spacing w:before="0"/>
      <w:ind w:left="720"/>
      <w:jc w:val="left"/>
    </w:pPr>
    <w:rPr>
      <w:rFonts w:ascii="Times New Roman" w:hAnsi="Times New Roman"/>
      <w:szCs w:val="20"/>
    </w:rPr>
  </w:style>
  <w:style w:type="paragraph" w:styleId="TM6">
    <w:name w:val="toc 6"/>
    <w:basedOn w:val="Normal"/>
    <w:next w:val="Normal"/>
    <w:semiHidden/>
    <w:rsid w:val="0074577A"/>
    <w:pPr>
      <w:spacing w:before="0"/>
      <w:ind w:left="900"/>
      <w:jc w:val="left"/>
    </w:pPr>
    <w:rPr>
      <w:rFonts w:ascii="Times New Roman" w:hAnsi="Times New Roman"/>
      <w:szCs w:val="20"/>
    </w:rPr>
  </w:style>
  <w:style w:type="paragraph" w:styleId="TM7">
    <w:name w:val="toc 7"/>
    <w:basedOn w:val="Normal"/>
    <w:next w:val="Normal"/>
    <w:semiHidden/>
    <w:rsid w:val="0074577A"/>
    <w:pPr>
      <w:spacing w:before="0"/>
      <w:ind w:left="1080"/>
      <w:jc w:val="left"/>
    </w:pPr>
    <w:rPr>
      <w:rFonts w:ascii="Times New Roman" w:hAnsi="Times New Roman"/>
      <w:szCs w:val="20"/>
    </w:rPr>
  </w:style>
  <w:style w:type="paragraph" w:styleId="TM8">
    <w:name w:val="toc 8"/>
    <w:basedOn w:val="Normal"/>
    <w:next w:val="Normal"/>
    <w:semiHidden/>
    <w:rsid w:val="0074577A"/>
    <w:pPr>
      <w:spacing w:before="0"/>
      <w:ind w:left="1260"/>
      <w:jc w:val="left"/>
    </w:pPr>
    <w:rPr>
      <w:rFonts w:ascii="Times New Roman" w:hAnsi="Times New Roman"/>
      <w:szCs w:val="20"/>
    </w:rPr>
  </w:style>
  <w:style w:type="paragraph" w:customStyle="1" w:styleId="SousTitre">
    <w:name w:val="Sous_Titre"/>
    <w:basedOn w:val="Normal"/>
    <w:next w:val="Normal"/>
    <w:rsid w:val="00051B63"/>
    <w:pPr>
      <w:pBdr>
        <w:bottom w:val="single" w:sz="4" w:space="1" w:color="auto"/>
      </w:pBdr>
      <w:spacing w:before="0" w:after="120"/>
      <w:ind w:right="-26"/>
    </w:pPr>
    <w:rPr>
      <w:b/>
    </w:rPr>
  </w:style>
  <w:style w:type="character" w:styleId="Lienhypertexte">
    <w:name w:val="Hyperlink"/>
    <w:aliases w:val="Lien hypertexte SUN.eVeille"/>
    <w:uiPriority w:val="99"/>
    <w:rsid w:val="00E574C3"/>
    <w:rPr>
      <w:rFonts w:asciiTheme="minorHAnsi" w:hAnsiTheme="minorHAnsi"/>
      <w:color w:val="auto"/>
      <w:sz w:val="18"/>
      <w:u w:val="single"/>
    </w:rPr>
  </w:style>
  <w:style w:type="paragraph" w:styleId="Listenumros2">
    <w:name w:val="List Number 2"/>
    <w:basedOn w:val="Normal"/>
    <w:rsid w:val="00051B63"/>
    <w:pPr>
      <w:tabs>
        <w:tab w:val="num" w:pos="643"/>
      </w:tabs>
      <w:ind w:left="643" w:hanging="360"/>
      <w:contextualSpacing/>
    </w:pPr>
  </w:style>
  <w:style w:type="character" w:styleId="Accentuation">
    <w:name w:val="Emphasis"/>
    <w:basedOn w:val="Policepardfaut"/>
    <w:uiPriority w:val="20"/>
    <w:qFormat/>
    <w:rsid w:val="00703383"/>
    <w:rPr>
      <w:i/>
      <w:iCs/>
    </w:rPr>
  </w:style>
  <w:style w:type="character" w:styleId="lev">
    <w:name w:val="Strong"/>
    <w:basedOn w:val="Policepardfaut"/>
    <w:uiPriority w:val="22"/>
    <w:qFormat/>
    <w:rsid w:val="007033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92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local/Reglementation/France/0_CSP_LNv/L1122_01_1.h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intranet.sunnikan.local/Reglementation/France/0_CSP_LNv/L1111_06.ht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ntranet.sunnikan.local/Reglementation/France/0_CSP_LNv/L1122_01_2.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W:\ASS_REG\AReg.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AReg.dotx</Template>
  <TotalTime>124</TotalTime>
  <Pages>5</Pages>
  <Words>2010</Words>
  <Characters>11060</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Manager>Demandeur</Manager>
  <Company>Nom de la Société</Company>
  <LinksUpToDate>false</LinksUpToDate>
  <CharactersWithSpaces>13044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numéro d'AR</dc:subject>
  <dc:creator>Catherine Merat</dc:creator>
  <cp:keywords>fonction</cp:keywords>
  <cp:lastModifiedBy>Catherine MERAT</cp:lastModifiedBy>
  <cp:revision>3</cp:revision>
  <cp:lastPrinted>2013-12-17T18:32:00Z</cp:lastPrinted>
  <dcterms:created xsi:type="dcterms:W3CDTF">2013-12-17T18:31:00Z</dcterms:created>
  <dcterms:modified xsi:type="dcterms:W3CDTF">2013-12-17T20:35:00Z</dcterms:modified>
  <cp:category>date de la demande</cp:category>
</cp:coreProperties>
</file>